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B4F7" w14:textId="77777777" w:rsidR="003B5533" w:rsidRDefault="003B5533" w:rsidP="003B5533">
      <w:pPr>
        <w:widowControl w:val="0"/>
        <w:spacing w:line="240" w:lineRule="auto"/>
        <w:ind w:left="15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МІНІСТЕРСТВО ОСВІТИ І НАУКИ УКРАЇНИ</w:t>
      </w:r>
    </w:p>
    <w:p w14:paraId="00D61B0F" w14:textId="77777777" w:rsidR="003B5533" w:rsidRDefault="003B5533" w:rsidP="003B553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8D230" w14:textId="77777777" w:rsidR="003B5533" w:rsidRDefault="003B5533" w:rsidP="003B5533">
      <w:pPr>
        <w:widowControl w:val="0"/>
        <w:spacing w:line="239" w:lineRule="auto"/>
        <w:ind w:left="1039" w:right="1473" w:firstLine="1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ХАРКІВСЬКИЙ НАЦІОНАЛЬНИЙ УНІВЕРСИТЕТ МІСЬКОГО ГОСПОДАРСТВА імені О. М. БЕКЕТОВА</w:t>
      </w:r>
    </w:p>
    <w:p w14:paraId="090436B6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B396BC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AA6560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0097A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86E34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8956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8B2CA" w14:textId="65813FB1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5434B" w14:textId="54304BC8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829B2" w14:textId="0EC47D0A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DA746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FBA89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D3FABA" w14:textId="77777777" w:rsidR="003B5533" w:rsidRDefault="003B5533" w:rsidP="003B553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68D0F" w14:textId="77777777" w:rsidR="003B5533" w:rsidRDefault="003B5533" w:rsidP="003B5533">
      <w:pPr>
        <w:widowControl w:val="0"/>
        <w:spacing w:line="240" w:lineRule="auto"/>
        <w:ind w:left="26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 РЕКОМЕНДАЦІЇ</w:t>
      </w:r>
    </w:p>
    <w:p w14:paraId="359E49F9" w14:textId="77777777" w:rsidR="003B5533" w:rsidRDefault="003B5533" w:rsidP="003B553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5896" w14:textId="74C9E45E" w:rsidR="00480013" w:rsidRDefault="003B5533" w:rsidP="003B5533">
      <w:pPr>
        <w:widowControl w:val="0"/>
        <w:spacing w:line="239" w:lineRule="auto"/>
        <w:ind w:left="672" w:right="11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проведення практичних занять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 самостійної роботи з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розділу</w:t>
      </w:r>
    </w:p>
    <w:p w14:paraId="004AE436" w14:textId="77777777" w:rsidR="00EA1615" w:rsidRDefault="00EA1615" w:rsidP="003B5533">
      <w:pPr>
        <w:widowControl w:val="0"/>
        <w:spacing w:line="239" w:lineRule="auto"/>
        <w:ind w:left="672" w:right="11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413BC" w14:textId="53637EAF" w:rsidR="00480013" w:rsidRPr="00480013" w:rsidRDefault="00480013" w:rsidP="003B5533">
      <w:pPr>
        <w:widowControl w:val="0"/>
        <w:spacing w:line="239" w:lineRule="auto"/>
        <w:ind w:left="672" w:right="1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«ТЕХНІЧНЕ ТА ТАРИФНЕ НОРМУВАННЯ»</w:t>
      </w:r>
    </w:p>
    <w:p w14:paraId="2845F461" w14:textId="77777777" w:rsidR="00EA1615" w:rsidRDefault="003B5533" w:rsidP="00480013">
      <w:pPr>
        <w:widowControl w:val="0"/>
        <w:spacing w:line="239" w:lineRule="auto"/>
        <w:ind w:left="672" w:right="11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91E11C" w14:textId="1EBCE703" w:rsidR="003B5533" w:rsidRDefault="003B5533" w:rsidP="00480013">
      <w:pPr>
        <w:widowControl w:val="0"/>
        <w:spacing w:line="239" w:lineRule="auto"/>
        <w:ind w:left="672" w:right="11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дисциплін</w:t>
      </w:r>
    </w:p>
    <w:p w14:paraId="4FF7134A" w14:textId="77777777" w:rsidR="00EA1615" w:rsidRPr="00480013" w:rsidRDefault="00EA1615" w:rsidP="00480013">
      <w:pPr>
        <w:widowControl w:val="0"/>
        <w:spacing w:line="239" w:lineRule="auto"/>
        <w:ind w:left="672" w:right="11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75E089" w14:textId="223D57DC" w:rsidR="003B5533" w:rsidRDefault="003B5533" w:rsidP="003B5533">
      <w:pPr>
        <w:widowControl w:val="0"/>
        <w:spacing w:line="240" w:lineRule="auto"/>
        <w:ind w:left="12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48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ТЕХНОЛОГІЯ БУДІВЕЛЬНОГО ВИРОБНИЦТВА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6604CD8" w14:textId="3A3C43B4" w:rsidR="00480013" w:rsidRDefault="00480013" w:rsidP="0048001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«ТЕХНОЛОГІЧНІ ПРОЦЕСИ ПІД ЧАС ЗВЕДЕННЯ БУДІВЕЛЬ ТА СПОРУД»</w:t>
      </w:r>
    </w:p>
    <w:p w14:paraId="1833E12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5178E6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7E053" w14:textId="77777777" w:rsidR="003B5533" w:rsidRDefault="003B5533" w:rsidP="003B553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85C904" w14:textId="77777777" w:rsidR="003B5533" w:rsidRDefault="003B5533" w:rsidP="0048001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(для здобувачів першого (бакалаврського) рівня вищої освіти</w:t>
      </w:r>
    </w:p>
    <w:p w14:paraId="3D7D5168" w14:textId="1823A529" w:rsidR="003B5533" w:rsidRDefault="003B5533" w:rsidP="0048001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денної</w:t>
      </w:r>
      <w:r w:rsidR="00480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 заочної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форм навчання зі спеціальності </w:t>
      </w:r>
      <w:r w:rsidR="00480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480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Будівництво та цивільна інженерія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освітньо-професійна програма «</w:t>
      </w:r>
      <w:r w:rsidR="00480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Промислове та цивільне будівництво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</w:p>
    <w:p w14:paraId="0BA8CA0B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BB181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B593D5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5106C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3C1FE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6276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29D9F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59242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38E256" w14:textId="7806FC92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DBD7B9" w14:textId="33EFB17E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790E16" w14:textId="781E1743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779C3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B1120B" w14:textId="77777777" w:rsidR="003B5533" w:rsidRDefault="003B5533" w:rsidP="003B553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0E1A05" w14:textId="77777777" w:rsidR="003B5533" w:rsidRDefault="003B5533" w:rsidP="003B5533">
      <w:pPr>
        <w:widowControl w:val="0"/>
        <w:spacing w:line="239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Харків</w:t>
      </w:r>
    </w:p>
    <w:p w14:paraId="05090C8F" w14:textId="1D4CADA0" w:rsidR="003B5533" w:rsidRDefault="003B5533" w:rsidP="003B5533">
      <w:pPr>
        <w:widowControl w:val="0"/>
        <w:spacing w:line="239" w:lineRule="auto"/>
        <w:ind w:left="4318" w:right="3295" w:hanging="14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ХНУМГ ім. О. М. Бекетова 202</w:t>
      </w:r>
      <w:r w:rsidR="0048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47337C27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2EB27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817851" w14:textId="77777777" w:rsidR="003B5533" w:rsidRDefault="003B5533" w:rsidP="003B553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248948" w14:textId="77777777" w:rsidR="003B5533" w:rsidRDefault="003B5533" w:rsidP="003B5533">
      <w:pPr>
        <w:widowControl w:val="0"/>
        <w:tabs>
          <w:tab w:val="left" w:pos="1437"/>
          <w:tab w:val="left" w:pos="3579"/>
          <w:tab w:val="left" w:pos="5751"/>
          <w:tab w:val="left" w:pos="6653"/>
          <w:tab w:val="left" w:pos="8327"/>
        </w:tabs>
        <w:spacing w:line="239" w:lineRule="auto"/>
        <w:ind w:right="4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252_0"/>
    </w:p>
    <w:p w14:paraId="3A646CAF" w14:textId="77777777" w:rsidR="003B5533" w:rsidRDefault="003B5533" w:rsidP="003B5533">
      <w:pPr>
        <w:widowControl w:val="0"/>
        <w:tabs>
          <w:tab w:val="left" w:pos="1437"/>
          <w:tab w:val="left" w:pos="3579"/>
          <w:tab w:val="left" w:pos="5751"/>
          <w:tab w:val="left" w:pos="6653"/>
          <w:tab w:val="left" w:pos="8327"/>
        </w:tabs>
        <w:spacing w:line="239" w:lineRule="auto"/>
        <w:ind w:right="4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C2341" w14:textId="77777777" w:rsidR="003B5533" w:rsidRDefault="003B5533" w:rsidP="003B5533">
      <w:pPr>
        <w:widowControl w:val="0"/>
        <w:tabs>
          <w:tab w:val="left" w:pos="1437"/>
          <w:tab w:val="left" w:pos="3579"/>
          <w:tab w:val="left" w:pos="5751"/>
          <w:tab w:val="left" w:pos="6653"/>
          <w:tab w:val="left" w:pos="8327"/>
        </w:tabs>
        <w:spacing w:line="239" w:lineRule="auto"/>
        <w:ind w:right="4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46426A" w14:textId="67A76A21" w:rsidR="003B5533" w:rsidRDefault="003B5533" w:rsidP="00480013">
      <w:pPr>
        <w:widowControl w:val="0"/>
        <w:tabs>
          <w:tab w:val="left" w:pos="1437"/>
          <w:tab w:val="left" w:pos="3579"/>
          <w:tab w:val="left" w:pos="5751"/>
          <w:tab w:val="left" w:pos="6653"/>
          <w:tab w:val="left" w:pos="8327"/>
        </w:tabs>
        <w:spacing w:line="239" w:lineRule="auto"/>
        <w:ind w:right="4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Методичні рекомендації 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проведення практичних занять та організації самостійної роботи з розділу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ехнічне та тарифне нормування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 дисциплін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ехнологія будівельного виробництва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ехнологічні процеси під час зведення будівель та споруд</w:t>
      </w:r>
      <w:r w:rsidR="00480013" w:rsidRP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 (бакалаврського) рівня вищої освіти денної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заочної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навчання зі спеціальності 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та цивільна інженерія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освітньо-професійна програма «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Промислове та цивільне будівництво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/ Харків.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госп-ва ім. О. М. Бекетова ; уклад. 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І. В. Шумаков, С. В. Бутнік, О. І. Савченко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Харків : ХНУМГ ім. О. М. Бекетова, 202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14:paraId="366EAD82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31544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39EA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A5B69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1B6D1" w14:textId="18AA905A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FA274" w14:textId="5A78184D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9374F" w14:textId="2FDBBCC6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5C110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F4A71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794B6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90E4C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59E42" w14:textId="77777777" w:rsidR="003B5533" w:rsidRDefault="003B5533" w:rsidP="003B5533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B4F608" w14:textId="3F77448A" w:rsidR="003B5533" w:rsidRDefault="003B5533" w:rsidP="003B553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Укладач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.т.н</w:t>
      </w:r>
      <w:proofErr w:type="spellEnd"/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</w:t>
      </w:r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Шумаков, </w:t>
      </w:r>
      <w:proofErr w:type="spellStart"/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доц. С. В. Бутнік, </w:t>
      </w:r>
      <w:proofErr w:type="spellStart"/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>к.е.н</w:t>
      </w:r>
      <w:proofErr w:type="spellEnd"/>
      <w:r w:rsidR="00480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доц. О. І. Савченко </w:t>
      </w:r>
    </w:p>
    <w:p w14:paraId="194F899E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F3DC7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1CACB" w14:textId="77777777" w:rsidR="003B5533" w:rsidRDefault="003B5533" w:rsidP="003B55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5D9CDF" w14:textId="77777777" w:rsidR="003B5533" w:rsidRDefault="003B5533" w:rsidP="003B5533">
      <w:pPr>
        <w:widowControl w:val="0"/>
        <w:spacing w:line="240" w:lineRule="auto"/>
        <w:ind w:left="40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</w:t>
      </w:r>
    </w:p>
    <w:p w14:paraId="0857E9A9" w14:textId="77777777" w:rsidR="003B5533" w:rsidRDefault="003B5533" w:rsidP="003B553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BB949" w14:textId="3A96B694" w:rsidR="003B5533" w:rsidRDefault="003B5533" w:rsidP="003B5533">
      <w:pPr>
        <w:widowControl w:val="0"/>
        <w:spacing w:line="240" w:lineRule="auto"/>
        <w:ind w:right="40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О. </w:t>
      </w:r>
      <w:r w:rsidR="0048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8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Овчаренко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технічних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наук,  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>в.о. завідувача кафедри мостів, конструкцій і будівельної механіки ім. В.О. Російського</w:t>
      </w:r>
      <w:r w:rsid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Харківського національного автомобільно-дорожнього університету</w:t>
      </w:r>
    </w:p>
    <w:p w14:paraId="69EFE488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1F2C65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6E340" w14:textId="77777777" w:rsidR="003B5533" w:rsidRDefault="003B5533" w:rsidP="003B553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78EFCF" w14:textId="1F7489C3" w:rsidR="003B5533" w:rsidRDefault="003B5533" w:rsidP="003B5533">
      <w:pPr>
        <w:widowControl w:val="0"/>
        <w:spacing w:line="239" w:lineRule="auto"/>
        <w:ind w:right="350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Рекомендовано кафедрою </w:t>
      </w:r>
      <w:r w:rsidR="00DE5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технології та організації будівельного виробництва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протокол № 1</w:t>
      </w:r>
      <w:r w:rsidR="00DE5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від 2</w:t>
      </w:r>
      <w:r w:rsidR="00DE5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E5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листопада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</w:t>
      </w:r>
      <w:r w:rsidR="00DE5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р.</w:t>
      </w:r>
    </w:p>
    <w:p w14:paraId="21949EB5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95CAB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500EF" w14:textId="77777777" w:rsidR="003B5533" w:rsidRDefault="003B5533" w:rsidP="003B553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81B17C" w14:textId="5E1C5469" w:rsidR="003B5533" w:rsidRDefault="003B5533" w:rsidP="003B5533">
      <w:pPr>
        <w:widowControl w:val="0"/>
        <w:spacing w:line="239" w:lineRule="auto"/>
        <w:ind w:right="40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Методичні рекомендації призначені для здобувачів спеціальності </w:t>
      </w:r>
      <w:r w:rsid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та цивільна інженерія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Подано 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інформацію про 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 нормоутворення на будівельні процеси; в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ідображено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основні норми будівництва, 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наведено основну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літератур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наведено послідовність визначення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кваліфікаційн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 робітників та керівників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трудомістк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машиноміст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кості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будівельних пpoцecів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робітників, машин, механізмів; 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послідовність розрахунків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615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>заробітн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5972" w:rsidRPr="00DE5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залежно від прийнятої форми оплати праці в будівельній організації.</w:t>
      </w:r>
    </w:p>
    <w:p w14:paraId="6682A1A9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0B267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8E360" w14:textId="77777777" w:rsidR="003B5533" w:rsidRDefault="003B5533" w:rsidP="003B553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194E0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4A1A22A" w14:textId="521D9090" w:rsidR="003B5533" w:rsidRDefault="003B5533" w:rsidP="003B5533">
      <w:pPr>
        <w:widowControl w:val="0"/>
        <w:spacing w:line="240" w:lineRule="auto"/>
        <w:ind w:left="45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5533">
          <w:pgSz w:w="11906" w:h="16838"/>
          <w:pgMar w:top="1125" w:right="850" w:bottom="0" w:left="1277" w:header="0" w:footer="0" w:gutter="0"/>
          <w:cols w:space="708"/>
        </w:sectPr>
      </w:pPr>
    </w:p>
    <w:p w14:paraId="47D6D12A" w14:textId="77777777" w:rsidR="003B5533" w:rsidRDefault="003B5533" w:rsidP="003B5533">
      <w:pPr>
        <w:widowControl w:val="0"/>
        <w:spacing w:line="240" w:lineRule="auto"/>
        <w:ind w:left="271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Електронне навчальне видання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E5CDA0" wp14:editId="0B0E1FB6">
                <wp:simplePos x="0" y="0"/>
                <wp:positionH relativeFrom="page">
                  <wp:posOffset>792480</wp:posOffset>
                </wp:positionH>
                <wp:positionV relativeFrom="page">
                  <wp:posOffset>6950329</wp:posOffset>
                </wp:positionV>
                <wp:extent cx="5976874" cy="0"/>
                <wp:effectExtent l="0" t="0" r="0" b="0"/>
                <wp:wrapNone/>
                <wp:docPr id="1328" name="drawingObject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874">
                              <a:moveTo>
                                <a:pt x="0" y="0"/>
                              </a:moveTo>
                              <a:lnTo>
                                <a:pt x="5976874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30C739" id="drawingObject1328" o:spid="_x0000_s1026" style="position:absolute;margin-left:62.4pt;margin-top:547.25pt;width:470.6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68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" o:allowincell="f" path="m,l5976874,e" filled="f" strokeweight="1.44pt">
                <v:path arrowok="t" textboxrect="0,0,5976874,0"/>
                <w10:wrap anchorx="page" anchory="page"/>
              </v:shape>
            </w:pict>
          </mc:Fallback>
        </mc:AlternateContent>
      </w:r>
    </w:p>
    <w:p w14:paraId="17232309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03BD87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AB2CB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32302" w14:textId="77777777" w:rsidR="003B5533" w:rsidRDefault="003B5533" w:rsidP="003B5533">
      <w:pPr>
        <w:spacing w:after="1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42BF98" w14:textId="77777777" w:rsidR="003B5533" w:rsidRDefault="003B5533" w:rsidP="003B5533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 рекомендації</w:t>
      </w:r>
    </w:p>
    <w:p w14:paraId="50B88C94" w14:textId="77777777" w:rsidR="00EA1615" w:rsidRPr="00EA1615" w:rsidRDefault="003B5533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проведення практичних занять</w:t>
      </w:r>
      <w:r w:rsid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організації самостійної роботи </w:t>
      </w:r>
      <w:r w:rsidR="00EA1615" w:rsidRP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з розділу</w:t>
      </w:r>
    </w:p>
    <w:p w14:paraId="52F5DE5C" w14:textId="77777777" w:rsidR="00EA1615" w:rsidRPr="00EA1615" w:rsidRDefault="00EA1615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604C09" w14:textId="77777777" w:rsidR="00EA1615" w:rsidRPr="00EA1615" w:rsidRDefault="00EA1615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«ТЕХНІЧНЕ ТА ТАРИФНЕ НОРМУВАННЯ»</w:t>
      </w:r>
    </w:p>
    <w:p w14:paraId="3251BC3A" w14:textId="77777777" w:rsidR="00EA1615" w:rsidRPr="00EA1615" w:rsidRDefault="00EA1615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AED770" w14:textId="77777777" w:rsidR="00EA1615" w:rsidRPr="00EA1615" w:rsidRDefault="00EA1615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61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 дисциплін</w:t>
      </w:r>
    </w:p>
    <w:p w14:paraId="428B9969" w14:textId="77777777" w:rsidR="00EA1615" w:rsidRPr="00EA1615" w:rsidRDefault="00EA1615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89340E" w14:textId="77777777" w:rsidR="00EA1615" w:rsidRPr="00EA1615" w:rsidRDefault="00EA1615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«ТЕХНОЛОГІЯ БУДІВЕЛЬНОГО ВИРОБНИЦТВА»</w:t>
      </w:r>
    </w:p>
    <w:p w14:paraId="5D60057A" w14:textId="2A9EA792" w:rsidR="003B5533" w:rsidRPr="00EA1615" w:rsidRDefault="00EA1615" w:rsidP="00EA1615">
      <w:pPr>
        <w:widowControl w:val="0"/>
        <w:spacing w:line="239" w:lineRule="auto"/>
        <w:ind w:left="578" w:right="11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«ТЕХНОЛОГІЧНІ ПРОЦЕСИ ПІД ЧАС ЗВЕДЕННЯ БУДІВЕЛЬ ТА СПОРУД»</w:t>
      </w:r>
    </w:p>
    <w:p w14:paraId="47BF05AB" w14:textId="77777777" w:rsidR="003B5533" w:rsidRDefault="003B5533" w:rsidP="003B553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93DA0" w14:textId="77777777" w:rsidR="003B5533" w:rsidRDefault="003B5533" w:rsidP="003B5533">
      <w:pPr>
        <w:spacing w:after="1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2CDE80F" w14:textId="49E6F258" w:rsidR="003B5533" w:rsidRDefault="003B5533" w:rsidP="003B5533">
      <w:pPr>
        <w:widowControl w:val="0"/>
        <w:spacing w:line="239" w:lineRule="auto"/>
        <w:ind w:right="53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(для здобувачів першого (бакалаврського) рівня вищої освіти денної</w:t>
      </w:r>
      <w:r w:rsidR="00EA16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 заочної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форм навчання зі спеціальності </w:t>
      </w:r>
      <w:r w:rsidR="00EA16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EA16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Будівництво та цивільна інженерія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освітньо-професійна програма «</w:t>
      </w:r>
      <w:r w:rsidR="00EA16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Промислове та цивільне будівництво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</w:p>
    <w:p w14:paraId="704C657B" w14:textId="77777777" w:rsidR="003B5533" w:rsidRDefault="003B5533" w:rsidP="003B553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E1E50" w14:textId="77777777" w:rsidR="003B5533" w:rsidRDefault="003B5533" w:rsidP="003B5533">
      <w:pPr>
        <w:spacing w:after="118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3DBC01" w14:textId="74B52101" w:rsidR="003B5533" w:rsidRDefault="003B5533" w:rsidP="003B55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Укладач</w:t>
      </w:r>
      <w:r w:rsidR="00EA1615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16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ШУМАКОВ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35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Ігор Валентинович, </w:t>
      </w:r>
      <w:r w:rsidR="00135F25" w:rsidRPr="0013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БУТНІК</w:t>
      </w:r>
      <w:r w:rsidR="00135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Світлана Володимирівна, </w:t>
      </w:r>
      <w:r w:rsidR="00135F25" w:rsidRPr="0013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САВЧЕНКО</w:t>
      </w:r>
      <w:r w:rsidR="00135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 Іванович</w:t>
      </w:r>
    </w:p>
    <w:p w14:paraId="14623D25" w14:textId="77777777" w:rsidR="003B5533" w:rsidRDefault="003B5533" w:rsidP="003B553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0728F" w14:textId="77777777" w:rsidR="003B5533" w:rsidRDefault="003B5533" w:rsidP="003B553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7A1AE" w14:textId="77777777" w:rsidR="003B5533" w:rsidRDefault="003B5533" w:rsidP="003B5533">
      <w:pPr>
        <w:spacing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13AE666" w14:textId="77777777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Відповідальний за випуск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Я. В. Гончаренко </w:t>
      </w:r>
    </w:p>
    <w:p w14:paraId="2F925FDC" w14:textId="2BFDC352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авторською редакцією</w:t>
      </w:r>
    </w:p>
    <w:p w14:paraId="1D7457FC" w14:textId="101ED17E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Комп’ютерне верстання </w:t>
      </w:r>
      <w:r w:rsidR="00135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В. </w:t>
      </w:r>
      <w:r w:rsidR="00135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Шумаков</w:t>
      </w:r>
    </w:p>
    <w:p w14:paraId="136028F4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0FDA47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5B420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1AA4C" w14:textId="77777777" w:rsidR="003B5533" w:rsidRDefault="003B5533" w:rsidP="003B553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0783CD" w14:textId="7D3DE224" w:rsidR="003B5533" w:rsidRDefault="003B5533" w:rsidP="003B5533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202</w:t>
      </w:r>
      <w:r w:rsidR="00135F2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поз. </w:t>
      </w:r>
      <w:r w:rsidRPr="00135F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144М</w:t>
      </w:r>
    </w:p>
    <w:p w14:paraId="33DD6CE0" w14:textId="77777777" w:rsidR="003B5533" w:rsidRDefault="003B5533" w:rsidP="003B5533">
      <w:pPr>
        <w:widowControl w:val="0"/>
        <w:spacing w:line="239" w:lineRule="auto"/>
        <w:ind w:left="3451" w:right="2272" w:hanging="1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0DABA" w14:textId="77777777" w:rsidR="003B5533" w:rsidRDefault="003B5533" w:rsidP="003B5533">
      <w:pPr>
        <w:widowControl w:val="0"/>
        <w:spacing w:line="239" w:lineRule="auto"/>
        <w:ind w:left="3451" w:right="2272" w:hanging="1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6721A" w14:textId="50A694A2" w:rsidR="003B5533" w:rsidRDefault="003B5533" w:rsidP="003B5533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 друку </w:t>
      </w:r>
      <w:r w:rsidRPr="00135F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17.01.2023.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 60 × 84/16. Ум. друк.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4,0</w:t>
      </w:r>
    </w:p>
    <w:p w14:paraId="71F41919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658FE" w14:textId="77777777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Видавець і виготовлювач: </w:t>
      </w:r>
    </w:p>
    <w:p w14:paraId="3C73C320" w14:textId="6B6EE64F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Харківський національний університет</w:t>
      </w:r>
    </w:p>
    <w:p w14:paraId="1D758CA2" w14:textId="77777777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міського господарства імені О. М. Бекетова, </w:t>
      </w:r>
    </w:p>
    <w:p w14:paraId="52E37741" w14:textId="77777777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Чорноглазівська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17, Харків, 61002. </w:t>
      </w:r>
    </w:p>
    <w:p w14:paraId="1BE25EC7" w14:textId="77777777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Електронна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@kname.edu.ua </w:t>
      </w:r>
    </w:p>
    <w:p w14:paraId="70B2E845" w14:textId="77777777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Свідоцтво суб’єкта видавничої справи: </w:t>
      </w:r>
    </w:p>
    <w:p w14:paraId="401183F5" w14:textId="565AB3DC" w:rsidR="003B5533" w:rsidRDefault="003B5533" w:rsidP="003B5533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 № 5328 від 11.04.2017</w:t>
      </w:r>
    </w:p>
    <w:p w14:paraId="7B0025F7" w14:textId="77777777" w:rsidR="003B5533" w:rsidRDefault="003B5533" w:rsidP="003B55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4A7BD7" w14:textId="77777777" w:rsidR="0010667A" w:rsidRDefault="0010667A"/>
    <w:sectPr w:rsidR="0010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C3"/>
    <w:rsid w:val="0010667A"/>
    <w:rsid w:val="00135F25"/>
    <w:rsid w:val="003B5533"/>
    <w:rsid w:val="00480013"/>
    <w:rsid w:val="007D77C3"/>
    <w:rsid w:val="00DE5972"/>
    <w:rsid w:val="00E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ACD3"/>
  <w15:chartTrackingRefBased/>
  <w15:docId w15:val="{50B1737B-9415-4441-B86D-B25432B4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33"/>
    <w:pPr>
      <w:spacing w:after="0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2024-12-24T09:43:00Z</dcterms:created>
  <dcterms:modified xsi:type="dcterms:W3CDTF">2024-12-24T10:57:00Z</dcterms:modified>
</cp:coreProperties>
</file>