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87" w:rsidRPr="00314259" w:rsidRDefault="00506387" w:rsidP="00C11EA2">
      <w:pPr>
        <w:pStyle w:val="a4"/>
        <w:spacing w:before="120" w:after="120"/>
        <w:ind w:right="-6"/>
        <w:rPr>
          <w:b/>
          <w:sz w:val="20"/>
          <w:szCs w:val="20"/>
        </w:rPr>
      </w:pPr>
      <w:r w:rsidRPr="00314259">
        <w:rPr>
          <w:b/>
          <w:sz w:val="20"/>
          <w:szCs w:val="20"/>
        </w:rPr>
        <w:t xml:space="preserve">НАТУРНЫЕ НАБЛЮДЕНИЯ ЗА СОСТОЯНИЕМ ОСНОВНЫХ СООРУЖЕНИЙ ДНЕСТРОВСКОЙ </w:t>
      </w:r>
      <w:r w:rsidR="005B28D0" w:rsidRPr="00314259">
        <w:rPr>
          <w:b/>
          <w:sz w:val="20"/>
          <w:szCs w:val="20"/>
        </w:rPr>
        <w:t>ГИДРОАККУМУЛИРУЮЩЕЙ ЭЛЕКТРОСТАНЦИИ</w:t>
      </w:r>
    </w:p>
    <w:p w:rsidR="00314259" w:rsidRPr="00314259" w:rsidRDefault="00314259" w:rsidP="00314259">
      <w:pPr>
        <w:pStyle w:val="a4"/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В. В. ГРИШКО </w:t>
      </w:r>
    </w:p>
    <w:p w:rsidR="00314259" w:rsidRPr="00314259" w:rsidRDefault="00314259" w:rsidP="00314259">
      <w:pPr>
        <w:pStyle w:val="a4"/>
        <w:spacing w:before="0" w:after="0"/>
        <w:ind w:right="-6"/>
        <w:jc w:val="both"/>
        <w:rPr>
          <w:i/>
          <w:sz w:val="20"/>
          <w:szCs w:val="20"/>
        </w:rPr>
      </w:pPr>
      <w:r w:rsidRPr="00314259">
        <w:rPr>
          <w:i/>
          <w:sz w:val="20"/>
          <w:szCs w:val="20"/>
        </w:rPr>
        <w:t>ООО «</w:t>
      </w:r>
      <w:proofErr w:type="spellStart"/>
      <w:r w:rsidRPr="00314259">
        <w:rPr>
          <w:i/>
          <w:sz w:val="20"/>
          <w:szCs w:val="20"/>
        </w:rPr>
        <w:t>Гидротехпроект</w:t>
      </w:r>
      <w:proofErr w:type="spellEnd"/>
      <w:r w:rsidRPr="00314259">
        <w:rPr>
          <w:i/>
          <w:sz w:val="20"/>
          <w:szCs w:val="20"/>
        </w:rPr>
        <w:t>»</w:t>
      </w:r>
    </w:p>
    <w:p w:rsidR="00314259" w:rsidRPr="00314259" w:rsidRDefault="00DB081C" w:rsidP="00314259">
      <w:pPr>
        <w:pStyle w:val="a4"/>
        <w:spacing w:before="0" w:after="0"/>
        <w:ind w:right="-6"/>
        <w:jc w:val="both"/>
        <w:rPr>
          <w:i/>
          <w:sz w:val="20"/>
          <w:szCs w:val="20"/>
        </w:rPr>
      </w:pPr>
      <w:r w:rsidRPr="00DB081C">
        <w:rPr>
          <w:i/>
          <w:sz w:val="20"/>
          <w:szCs w:val="20"/>
        </w:rPr>
        <w:t>61166</w:t>
      </w:r>
      <w:r w:rsidR="00314259" w:rsidRPr="00314259">
        <w:rPr>
          <w:i/>
          <w:sz w:val="20"/>
          <w:szCs w:val="20"/>
        </w:rPr>
        <w:t>, Украина, г. Харьков</w:t>
      </w:r>
      <w:r w:rsidR="00314259" w:rsidRPr="00DB081C">
        <w:rPr>
          <w:i/>
          <w:sz w:val="20"/>
          <w:szCs w:val="20"/>
        </w:rPr>
        <w:t xml:space="preserve">, </w:t>
      </w:r>
      <w:r w:rsidRPr="00DB081C">
        <w:rPr>
          <w:i/>
          <w:sz w:val="20"/>
          <w:szCs w:val="20"/>
        </w:rPr>
        <w:t>пр</w:t>
      </w:r>
      <w:r w:rsidR="00314259" w:rsidRPr="00DB081C">
        <w:rPr>
          <w:i/>
          <w:sz w:val="20"/>
          <w:szCs w:val="20"/>
        </w:rPr>
        <w:t xml:space="preserve">. </w:t>
      </w:r>
      <w:r w:rsidRPr="00DB081C">
        <w:rPr>
          <w:i/>
          <w:sz w:val="20"/>
          <w:szCs w:val="20"/>
        </w:rPr>
        <w:t>Ленина</w:t>
      </w:r>
      <w:r w:rsidR="00314259" w:rsidRPr="00DB081C">
        <w:rPr>
          <w:i/>
          <w:sz w:val="20"/>
          <w:szCs w:val="20"/>
        </w:rPr>
        <w:t xml:space="preserve">, </w:t>
      </w:r>
      <w:r w:rsidRPr="00DB081C">
        <w:rPr>
          <w:i/>
          <w:sz w:val="20"/>
          <w:szCs w:val="20"/>
        </w:rPr>
        <w:t>9</w:t>
      </w:r>
      <w:r w:rsidR="00314259" w:rsidRPr="00DB081C">
        <w:rPr>
          <w:i/>
          <w:sz w:val="20"/>
          <w:szCs w:val="20"/>
        </w:rPr>
        <w:t>,</w:t>
      </w:r>
      <w:r w:rsidR="00314259" w:rsidRPr="00314259">
        <w:rPr>
          <w:i/>
          <w:sz w:val="20"/>
          <w:szCs w:val="20"/>
        </w:rPr>
        <w:t xml:space="preserve"> </w:t>
      </w:r>
    </w:p>
    <w:p w:rsidR="00314259" w:rsidRPr="00314259" w:rsidRDefault="00314259" w:rsidP="00314259">
      <w:pPr>
        <w:pStyle w:val="a4"/>
        <w:spacing w:before="0" w:after="0"/>
        <w:ind w:right="-6"/>
        <w:jc w:val="both"/>
        <w:rPr>
          <w:sz w:val="20"/>
          <w:szCs w:val="20"/>
          <w:lang w:val="en-US"/>
        </w:rPr>
      </w:pPr>
      <w:r w:rsidRPr="00314259">
        <w:rPr>
          <w:i/>
          <w:sz w:val="20"/>
          <w:szCs w:val="20"/>
          <w:lang w:val="en-US"/>
        </w:rPr>
        <w:t xml:space="preserve">E-mail - </w:t>
      </w:r>
      <w:hyperlink r:id="rId9" w:history="1">
        <w:r w:rsidRPr="00314259">
          <w:rPr>
            <w:rStyle w:val="af"/>
            <w:i/>
            <w:sz w:val="20"/>
            <w:szCs w:val="20"/>
            <w:lang w:val="en-US"/>
          </w:rPr>
          <w:t>nio@uhp.kharkov.ua</w:t>
        </w:r>
      </w:hyperlink>
    </w:p>
    <w:p w:rsidR="00B27C30" w:rsidRPr="00314259" w:rsidRDefault="00B27C30" w:rsidP="00314259">
      <w:pPr>
        <w:pStyle w:val="a4"/>
        <w:spacing w:before="120" w:after="120"/>
        <w:ind w:right="-6"/>
        <w:jc w:val="both"/>
        <w:rPr>
          <w:b/>
          <w:sz w:val="20"/>
          <w:szCs w:val="20"/>
        </w:rPr>
      </w:pPr>
      <w:r w:rsidRPr="00314259">
        <w:rPr>
          <w:b/>
          <w:sz w:val="20"/>
          <w:szCs w:val="20"/>
        </w:rPr>
        <w:t>Введение</w:t>
      </w:r>
    </w:p>
    <w:p w:rsidR="00DA5167" w:rsidRPr="00314259" w:rsidRDefault="00DA5167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Целью натурного контроля, с точки зрения надёжности, является регулярное получение достоверной оценки состояния</w:t>
      </w:r>
      <w:r w:rsidR="00827F77" w:rsidRPr="00314259">
        <w:rPr>
          <w:sz w:val="20"/>
          <w:szCs w:val="20"/>
        </w:rPr>
        <w:t xml:space="preserve"> гидротехнических</w:t>
      </w:r>
      <w:r w:rsidRPr="00314259">
        <w:rPr>
          <w:sz w:val="20"/>
          <w:szCs w:val="20"/>
        </w:rPr>
        <w:t xml:space="preserve"> сооружений</w:t>
      </w:r>
      <w:r w:rsidR="00827F77" w:rsidRPr="00314259">
        <w:rPr>
          <w:sz w:val="20"/>
          <w:szCs w:val="20"/>
        </w:rPr>
        <w:t xml:space="preserve"> (ГТС)</w:t>
      </w:r>
      <w:r w:rsidRPr="00314259">
        <w:rPr>
          <w:sz w:val="20"/>
          <w:szCs w:val="20"/>
        </w:rPr>
        <w:t>, а также направленности происходящих в них изменений и процессов, а с точки зрения безопасности — как можно более раннее обнаружение, оценка и прогноз потенциальной опасности. Основой диагностического контроля ГТС является регулярные натурные наблюдения за состоянием основных гидротехнических сооружений, которые включают визуальные и инструментальные наблюдения</w:t>
      </w:r>
      <w:r w:rsidR="00827F77" w:rsidRPr="00314259">
        <w:rPr>
          <w:sz w:val="20"/>
          <w:szCs w:val="20"/>
        </w:rPr>
        <w:t>, которые</w:t>
      </w:r>
      <w:r w:rsidRPr="00314259">
        <w:rPr>
          <w:sz w:val="20"/>
          <w:szCs w:val="20"/>
        </w:rPr>
        <w:t xml:space="preserve"> дополняют друг друга. </w:t>
      </w:r>
    </w:p>
    <w:p w:rsidR="00914E1B" w:rsidRPr="00314259" w:rsidRDefault="00E249E3" w:rsidP="00314259">
      <w:pPr>
        <w:pStyle w:val="a4"/>
        <w:tabs>
          <w:tab w:val="left" w:pos="426"/>
        </w:tabs>
        <w:spacing w:before="120" w:after="120"/>
        <w:ind w:right="-6"/>
        <w:jc w:val="both"/>
        <w:rPr>
          <w:sz w:val="20"/>
          <w:szCs w:val="20"/>
        </w:rPr>
      </w:pPr>
      <w:r w:rsidRPr="00314259">
        <w:rPr>
          <w:b/>
          <w:sz w:val="20"/>
          <w:szCs w:val="20"/>
        </w:rPr>
        <w:t xml:space="preserve">Краткое описание основных сооружений </w:t>
      </w:r>
      <w:proofErr w:type="gramStart"/>
      <w:r w:rsidRPr="00314259">
        <w:rPr>
          <w:b/>
          <w:sz w:val="20"/>
          <w:szCs w:val="20"/>
        </w:rPr>
        <w:t>Днест</w:t>
      </w:r>
      <w:bookmarkStart w:id="0" w:name="_GoBack"/>
      <w:bookmarkEnd w:id="0"/>
      <w:r w:rsidRPr="00314259">
        <w:rPr>
          <w:b/>
          <w:sz w:val="20"/>
          <w:szCs w:val="20"/>
        </w:rPr>
        <w:t>ровской</w:t>
      </w:r>
      <w:proofErr w:type="gramEnd"/>
      <w:r w:rsidRPr="00314259">
        <w:rPr>
          <w:b/>
          <w:sz w:val="20"/>
          <w:szCs w:val="20"/>
        </w:rPr>
        <w:t xml:space="preserve"> ГАЭС</w:t>
      </w:r>
    </w:p>
    <w:p w:rsidR="00914E1B" w:rsidRPr="00314259" w:rsidRDefault="00914E1B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Днестровская гидроаккумулирующая электростанция (ГАЭС) расположена на р.</w:t>
      </w:r>
      <w:r w:rsidR="0016359E" w:rsidRPr="00314259">
        <w:rPr>
          <w:sz w:val="20"/>
          <w:szCs w:val="20"/>
        </w:rPr>
        <w:t> </w:t>
      </w:r>
      <w:r w:rsidRPr="00314259">
        <w:rPr>
          <w:sz w:val="20"/>
          <w:szCs w:val="20"/>
        </w:rPr>
        <w:t>Днестр в юго-западной части Украины на территории Черновицкой и Винницкой областей и предназначена для работы в циклическом режиме: потребление излишней энергии атомных и тепловых электростанций в ночное время и выдача пиковой энергии в утреннее и вечернее время.</w:t>
      </w:r>
    </w:p>
    <w:p w:rsidR="00C663F8" w:rsidRPr="00314259" w:rsidRDefault="00C663F8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proofErr w:type="gramStart"/>
      <w:r w:rsidRPr="00314259">
        <w:rPr>
          <w:sz w:val="20"/>
          <w:szCs w:val="20"/>
        </w:rPr>
        <w:t>Днестровская</w:t>
      </w:r>
      <w:proofErr w:type="gramEnd"/>
      <w:r w:rsidRPr="00314259">
        <w:rPr>
          <w:sz w:val="20"/>
          <w:szCs w:val="20"/>
        </w:rPr>
        <w:t xml:space="preserve"> ГАЭС является составной частью Днестровског</w:t>
      </w:r>
      <w:r w:rsidR="00827F77" w:rsidRPr="00314259">
        <w:rPr>
          <w:sz w:val="20"/>
          <w:szCs w:val="20"/>
        </w:rPr>
        <w:t>о гидроэнергетического каскада, в который</w:t>
      </w:r>
      <w:r w:rsidRPr="00314259">
        <w:rPr>
          <w:sz w:val="20"/>
          <w:szCs w:val="20"/>
        </w:rPr>
        <w:t xml:space="preserve"> входит: </w:t>
      </w:r>
    </w:p>
    <w:p w:rsidR="00C663F8" w:rsidRPr="00314259" w:rsidRDefault="00AF5EA2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- </w:t>
      </w:r>
      <w:r w:rsidR="00C663F8" w:rsidRPr="00314259">
        <w:rPr>
          <w:sz w:val="20"/>
          <w:szCs w:val="20"/>
        </w:rPr>
        <w:t>Днестровская ГЭС-1. Установленная мощность ГЭС – 702 МВт.</w:t>
      </w:r>
    </w:p>
    <w:p w:rsidR="00C663F8" w:rsidRPr="00314259" w:rsidRDefault="00AF5EA2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- </w:t>
      </w:r>
      <w:r w:rsidR="00C663F8" w:rsidRPr="00314259">
        <w:rPr>
          <w:sz w:val="20"/>
          <w:szCs w:val="20"/>
        </w:rPr>
        <w:t>Днестровская ГЭС-2. Установленная мощность ГЭС – 40,8 МВт.</w:t>
      </w:r>
    </w:p>
    <w:p w:rsidR="009E6E85" w:rsidRPr="00314259" w:rsidRDefault="00AF5EA2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- </w:t>
      </w:r>
      <w:proofErr w:type="gramStart"/>
      <w:r w:rsidR="00C663F8" w:rsidRPr="00314259">
        <w:rPr>
          <w:sz w:val="20"/>
          <w:szCs w:val="20"/>
        </w:rPr>
        <w:t>Днестровская</w:t>
      </w:r>
      <w:proofErr w:type="gramEnd"/>
      <w:r w:rsidR="00C663F8" w:rsidRPr="00314259">
        <w:rPr>
          <w:sz w:val="20"/>
          <w:szCs w:val="20"/>
        </w:rPr>
        <w:t xml:space="preserve"> ГАЭС </w:t>
      </w:r>
      <w:r w:rsidR="00BA209E" w:rsidRPr="00314259">
        <w:rPr>
          <w:sz w:val="20"/>
          <w:szCs w:val="20"/>
        </w:rPr>
        <w:t>установленной мощностью 2268/2947</w:t>
      </w:r>
      <w:r w:rsidR="0016359E" w:rsidRPr="00314259">
        <w:rPr>
          <w:sz w:val="20"/>
          <w:szCs w:val="20"/>
        </w:rPr>
        <w:t> </w:t>
      </w:r>
      <w:r w:rsidR="00BA209E" w:rsidRPr="00314259">
        <w:rPr>
          <w:sz w:val="20"/>
          <w:szCs w:val="20"/>
        </w:rPr>
        <w:t>МВт (генераторный/насосный режимы) состоит из семи об</w:t>
      </w:r>
      <w:r w:rsidR="00827F77" w:rsidRPr="00314259">
        <w:rPr>
          <w:sz w:val="20"/>
          <w:szCs w:val="20"/>
        </w:rPr>
        <w:t>ратимых</w:t>
      </w:r>
      <w:r w:rsidR="00BA209E" w:rsidRPr="00314259">
        <w:rPr>
          <w:sz w:val="20"/>
          <w:szCs w:val="20"/>
        </w:rPr>
        <w:t xml:space="preserve"> гидроагрегатов по 324/421</w:t>
      </w:r>
      <w:r w:rsidR="0016359E" w:rsidRPr="00314259">
        <w:rPr>
          <w:sz w:val="20"/>
          <w:szCs w:val="20"/>
        </w:rPr>
        <w:t> </w:t>
      </w:r>
      <w:r w:rsidR="00BA209E" w:rsidRPr="00314259">
        <w:rPr>
          <w:sz w:val="20"/>
          <w:szCs w:val="20"/>
        </w:rPr>
        <w:t xml:space="preserve">МВт каждый. На ГАЭС </w:t>
      </w:r>
      <w:proofErr w:type="gramStart"/>
      <w:r w:rsidR="00BA209E" w:rsidRPr="00314259">
        <w:rPr>
          <w:sz w:val="20"/>
          <w:szCs w:val="20"/>
        </w:rPr>
        <w:t>предусмотренные</w:t>
      </w:r>
      <w:proofErr w:type="gramEnd"/>
      <w:r w:rsidR="00BA209E" w:rsidRPr="00314259">
        <w:rPr>
          <w:sz w:val="20"/>
          <w:szCs w:val="20"/>
        </w:rPr>
        <w:t xml:space="preserve"> насос-турбины радиально-осевого типа.</w:t>
      </w:r>
    </w:p>
    <w:p w:rsidR="00914E1B" w:rsidRPr="00314259" w:rsidRDefault="00914E1B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proofErr w:type="gramStart"/>
      <w:r w:rsidRPr="00314259">
        <w:rPr>
          <w:sz w:val="20"/>
          <w:szCs w:val="20"/>
        </w:rPr>
        <w:t>В состав основных сооружений Днестровской ГАЭС входят: верхний водоём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склоны основных сооружений</w:t>
      </w:r>
      <w:r w:rsidR="009C2C2F" w:rsidRPr="00314259">
        <w:rPr>
          <w:sz w:val="20"/>
          <w:szCs w:val="20"/>
        </w:rPr>
        <w:t xml:space="preserve">, </w:t>
      </w:r>
      <w:r w:rsidRPr="00314259">
        <w:rPr>
          <w:sz w:val="20"/>
          <w:szCs w:val="20"/>
        </w:rPr>
        <w:t xml:space="preserve">верхняя </w:t>
      </w:r>
      <w:r w:rsidR="00C663F8" w:rsidRPr="00314259">
        <w:rPr>
          <w:sz w:val="20"/>
          <w:szCs w:val="20"/>
        </w:rPr>
        <w:t>и</w:t>
      </w:r>
      <w:r w:rsidRPr="00314259">
        <w:rPr>
          <w:sz w:val="20"/>
          <w:szCs w:val="20"/>
        </w:rPr>
        <w:t xml:space="preserve"> нижняя дренажн</w:t>
      </w:r>
      <w:r w:rsidR="00C663F8" w:rsidRPr="00314259">
        <w:rPr>
          <w:sz w:val="20"/>
          <w:szCs w:val="20"/>
        </w:rPr>
        <w:t>ые</w:t>
      </w:r>
      <w:r w:rsidRPr="00314259">
        <w:rPr>
          <w:sz w:val="20"/>
          <w:szCs w:val="20"/>
        </w:rPr>
        <w:t xml:space="preserve"> штольн</w:t>
      </w:r>
      <w:r w:rsidR="00C663F8" w:rsidRPr="00314259">
        <w:rPr>
          <w:sz w:val="20"/>
          <w:szCs w:val="20"/>
        </w:rPr>
        <w:t>и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водоприемник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подводящие водоводы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здание ГАЭС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пристанционная площадка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отводящие водоводы</w:t>
      </w:r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</w:t>
      </w:r>
      <w:proofErr w:type="spellStart"/>
      <w:r w:rsidRPr="00314259">
        <w:rPr>
          <w:sz w:val="20"/>
          <w:szCs w:val="20"/>
        </w:rPr>
        <w:t>водовыпуск</w:t>
      </w:r>
      <w:proofErr w:type="spellEnd"/>
      <w:r w:rsidR="009C2C2F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</w:t>
      </w:r>
      <w:r w:rsidR="00C663F8" w:rsidRPr="00314259">
        <w:rPr>
          <w:sz w:val="20"/>
          <w:szCs w:val="20"/>
        </w:rPr>
        <w:t xml:space="preserve">нижнее водохранилище с </w:t>
      </w:r>
      <w:r w:rsidRPr="00314259">
        <w:rPr>
          <w:sz w:val="20"/>
          <w:szCs w:val="20"/>
        </w:rPr>
        <w:t>защитны</w:t>
      </w:r>
      <w:r w:rsidR="00C663F8" w:rsidRPr="00314259">
        <w:rPr>
          <w:sz w:val="20"/>
          <w:szCs w:val="20"/>
        </w:rPr>
        <w:t>ми</w:t>
      </w:r>
      <w:r w:rsidRPr="00314259">
        <w:rPr>
          <w:sz w:val="20"/>
          <w:szCs w:val="20"/>
        </w:rPr>
        <w:t xml:space="preserve"> сооружени</w:t>
      </w:r>
      <w:r w:rsidR="00C663F8" w:rsidRPr="00314259">
        <w:rPr>
          <w:sz w:val="20"/>
          <w:szCs w:val="20"/>
        </w:rPr>
        <w:t>ями</w:t>
      </w:r>
      <w:r w:rsidRPr="00314259">
        <w:rPr>
          <w:sz w:val="20"/>
          <w:szCs w:val="20"/>
        </w:rPr>
        <w:t>.</w:t>
      </w:r>
      <w:proofErr w:type="gramEnd"/>
    </w:p>
    <w:p w:rsidR="00492E63" w:rsidRPr="00314259" w:rsidRDefault="00492E63" w:rsidP="00314259">
      <w:pPr>
        <w:pStyle w:val="a4"/>
        <w:tabs>
          <w:tab w:val="left" w:pos="426"/>
        </w:tabs>
        <w:spacing w:before="120" w:after="120"/>
        <w:ind w:right="-6"/>
        <w:jc w:val="both"/>
        <w:rPr>
          <w:b/>
          <w:sz w:val="20"/>
          <w:szCs w:val="20"/>
        </w:rPr>
      </w:pPr>
      <w:r w:rsidRPr="00314259">
        <w:rPr>
          <w:b/>
          <w:sz w:val="20"/>
          <w:szCs w:val="20"/>
        </w:rPr>
        <w:lastRenderedPageBreak/>
        <w:t xml:space="preserve">Состав </w:t>
      </w:r>
      <w:r w:rsidR="00AF5EA2" w:rsidRPr="00314259">
        <w:rPr>
          <w:b/>
          <w:sz w:val="20"/>
          <w:szCs w:val="20"/>
        </w:rPr>
        <w:t>контрольно-измерительной аппаратуры</w:t>
      </w:r>
    </w:p>
    <w:p w:rsidR="003709AE" w:rsidRPr="00314259" w:rsidRDefault="003709AE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В соответствии с разработанной </w:t>
      </w:r>
      <w:proofErr w:type="spellStart"/>
      <w:r w:rsidRPr="00314259">
        <w:rPr>
          <w:sz w:val="20"/>
          <w:szCs w:val="20"/>
        </w:rPr>
        <w:t>Укргидропроект</w:t>
      </w:r>
      <w:r w:rsidR="00235FA8" w:rsidRPr="00314259">
        <w:rPr>
          <w:sz w:val="20"/>
          <w:szCs w:val="20"/>
        </w:rPr>
        <w:t>ом</w:t>
      </w:r>
      <w:proofErr w:type="spellEnd"/>
      <w:r w:rsidRPr="00314259">
        <w:rPr>
          <w:sz w:val="20"/>
          <w:szCs w:val="20"/>
        </w:rPr>
        <w:t xml:space="preserve"> «Программой натурных контрольных и </w:t>
      </w:r>
      <w:r w:rsidR="008067DE" w:rsidRPr="00314259">
        <w:rPr>
          <w:sz w:val="20"/>
          <w:szCs w:val="20"/>
        </w:rPr>
        <w:t>с</w:t>
      </w:r>
      <w:r w:rsidRPr="00314259">
        <w:rPr>
          <w:sz w:val="20"/>
          <w:szCs w:val="20"/>
        </w:rPr>
        <w:t>пециальных наблюдений и исследований сооружений и конструкций Днестровской ГАЭС в период строительства и эксплуатации» было предусмотрено оснащение гидросооружений соответствующей контрольно-измерительной аппаратурой (К</w:t>
      </w:r>
      <w:r w:rsidR="00235FA8" w:rsidRPr="00314259">
        <w:rPr>
          <w:sz w:val="20"/>
          <w:szCs w:val="20"/>
        </w:rPr>
        <w:t>И</w:t>
      </w:r>
      <w:r w:rsidRPr="00314259">
        <w:rPr>
          <w:sz w:val="20"/>
          <w:szCs w:val="20"/>
        </w:rPr>
        <w:t xml:space="preserve">А), проведения контрольных визуальных наблюдений и замеров всех показателей, необходимых для оценки состояния как наземных, так и подземных сооружений. </w:t>
      </w:r>
    </w:p>
    <w:p w:rsidR="003709AE" w:rsidRPr="00314259" w:rsidRDefault="003709AE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Фактически на данном этапе общее количество К</w:t>
      </w:r>
      <w:r w:rsidR="00235FA8" w:rsidRPr="00314259">
        <w:rPr>
          <w:sz w:val="20"/>
          <w:szCs w:val="20"/>
        </w:rPr>
        <w:t>И</w:t>
      </w:r>
      <w:r w:rsidRPr="00314259">
        <w:rPr>
          <w:sz w:val="20"/>
          <w:szCs w:val="20"/>
        </w:rPr>
        <w:t xml:space="preserve">А, установленной </w:t>
      </w:r>
      <w:r w:rsidR="008067DE" w:rsidRPr="00314259">
        <w:rPr>
          <w:sz w:val="20"/>
          <w:szCs w:val="20"/>
        </w:rPr>
        <w:t>на</w:t>
      </w:r>
      <w:r w:rsidRPr="00314259">
        <w:rPr>
          <w:sz w:val="20"/>
          <w:szCs w:val="20"/>
        </w:rPr>
        <w:t xml:space="preserve"> сооружениях и конструкциях Днестровской ГАЭС</w:t>
      </w:r>
      <w:r w:rsidR="008067DE" w:rsidRPr="00314259">
        <w:rPr>
          <w:sz w:val="20"/>
          <w:szCs w:val="20"/>
        </w:rPr>
        <w:t xml:space="preserve"> </w:t>
      </w:r>
      <w:proofErr w:type="gramStart"/>
      <w:r w:rsidR="008067DE" w:rsidRPr="00314259">
        <w:rPr>
          <w:sz w:val="20"/>
          <w:szCs w:val="20"/>
        </w:rPr>
        <w:t>равна</w:t>
      </w:r>
      <w:proofErr w:type="gramEnd"/>
      <w:r w:rsidRPr="00314259">
        <w:rPr>
          <w:sz w:val="20"/>
          <w:szCs w:val="20"/>
        </w:rPr>
        <w:t xml:space="preserve"> </w:t>
      </w:r>
      <w:r w:rsidR="008067DE" w:rsidRPr="00314259">
        <w:rPr>
          <w:sz w:val="20"/>
          <w:szCs w:val="20"/>
        </w:rPr>
        <w:t>2699</w:t>
      </w:r>
      <w:r w:rsidRPr="00314259">
        <w:rPr>
          <w:sz w:val="20"/>
          <w:szCs w:val="20"/>
        </w:rPr>
        <w:t xml:space="preserve"> единиц, из них </w:t>
      </w:r>
      <w:r w:rsidR="00235FA8" w:rsidRPr="00314259">
        <w:rPr>
          <w:sz w:val="20"/>
          <w:szCs w:val="20"/>
        </w:rPr>
        <w:t>2221</w:t>
      </w:r>
      <w:r w:rsidRPr="00314259">
        <w:rPr>
          <w:sz w:val="20"/>
          <w:szCs w:val="20"/>
        </w:rPr>
        <w:t xml:space="preserve"> действующих.</w:t>
      </w:r>
      <w:r w:rsidR="00AF5EA2" w:rsidRPr="00314259">
        <w:rPr>
          <w:sz w:val="20"/>
          <w:szCs w:val="20"/>
        </w:rPr>
        <w:t xml:space="preserve"> </w:t>
      </w:r>
    </w:p>
    <w:p w:rsidR="0086316C" w:rsidRPr="00314259" w:rsidRDefault="0086316C" w:rsidP="00314259">
      <w:pPr>
        <w:pStyle w:val="a4"/>
        <w:tabs>
          <w:tab w:val="left" w:pos="426"/>
        </w:tabs>
        <w:spacing w:before="120" w:after="120"/>
        <w:ind w:right="-6"/>
        <w:jc w:val="both"/>
        <w:rPr>
          <w:b/>
          <w:sz w:val="20"/>
          <w:szCs w:val="20"/>
        </w:rPr>
      </w:pPr>
      <w:r w:rsidRPr="00314259">
        <w:rPr>
          <w:b/>
          <w:sz w:val="20"/>
          <w:szCs w:val="20"/>
        </w:rPr>
        <w:t>Примеры полученных результатов</w:t>
      </w:r>
      <w:r w:rsidR="005F348B" w:rsidRPr="00314259">
        <w:rPr>
          <w:b/>
          <w:sz w:val="20"/>
          <w:szCs w:val="20"/>
        </w:rPr>
        <w:t xml:space="preserve"> натурных наблюдений</w:t>
      </w:r>
    </w:p>
    <w:p w:rsidR="008A6472" w:rsidRPr="00314259" w:rsidRDefault="008A6472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proofErr w:type="gramStart"/>
      <w:r w:rsidRPr="00314259">
        <w:rPr>
          <w:sz w:val="20"/>
          <w:szCs w:val="20"/>
        </w:rPr>
        <w:t xml:space="preserve">Инструментальные и визуальные наблюдения по состоянию ГТС </w:t>
      </w:r>
      <w:r w:rsidR="008F30DD" w:rsidRPr="00314259">
        <w:rPr>
          <w:sz w:val="20"/>
          <w:szCs w:val="20"/>
        </w:rPr>
        <w:t xml:space="preserve">Днестровской ГАЭС </w:t>
      </w:r>
      <w:r w:rsidRPr="00314259">
        <w:rPr>
          <w:sz w:val="20"/>
          <w:szCs w:val="20"/>
        </w:rPr>
        <w:t>проводятся с периодичностью раз в месяц, в период пуско-наладочных работ замеры выполняются в учащенном режиме.</w:t>
      </w:r>
      <w:proofErr w:type="gramEnd"/>
    </w:p>
    <w:p w:rsidR="0079303C" w:rsidRPr="00314259" w:rsidRDefault="008607F9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Все полученные данные по натурным наблюдениям</w:t>
      </w:r>
      <w:r w:rsidR="00AA1061" w:rsidRPr="00314259">
        <w:rPr>
          <w:sz w:val="20"/>
          <w:szCs w:val="20"/>
        </w:rPr>
        <w:t>,</w:t>
      </w:r>
      <w:r w:rsidRPr="00314259">
        <w:rPr>
          <w:sz w:val="20"/>
          <w:szCs w:val="20"/>
        </w:rPr>
        <w:t xml:space="preserve"> </w:t>
      </w:r>
      <w:r w:rsidR="004F09D7" w:rsidRPr="00314259">
        <w:rPr>
          <w:sz w:val="20"/>
          <w:szCs w:val="20"/>
        </w:rPr>
        <w:t>выполненные ручным съёмом</w:t>
      </w:r>
      <w:r w:rsidR="00AA1061" w:rsidRPr="00314259">
        <w:rPr>
          <w:sz w:val="20"/>
          <w:szCs w:val="20"/>
        </w:rPr>
        <w:t xml:space="preserve">, </w:t>
      </w:r>
      <w:r w:rsidRPr="00314259">
        <w:rPr>
          <w:sz w:val="20"/>
          <w:szCs w:val="20"/>
        </w:rPr>
        <w:t>обрабатывают</w:t>
      </w:r>
      <w:r w:rsidR="00AA1061" w:rsidRPr="00314259">
        <w:rPr>
          <w:sz w:val="20"/>
          <w:szCs w:val="20"/>
        </w:rPr>
        <w:t>с</w:t>
      </w:r>
      <w:r w:rsidRPr="00314259">
        <w:rPr>
          <w:sz w:val="20"/>
          <w:szCs w:val="20"/>
        </w:rPr>
        <w:t xml:space="preserve">я и заносятся в </w:t>
      </w:r>
      <w:r w:rsidR="007C5DAC">
        <w:rPr>
          <w:sz w:val="20"/>
          <w:szCs w:val="20"/>
        </w:rPr>
        <w:t>электронную</w:t>
      </w:r>
      <w:r w:rsidRPr="00314259">
        <w:rPr>
          <w:sz w:val="20"/>
          <w:szCs w:val="20"/>
        </w:rPr>
        <w:t xml:space="preserve"> б</w:t>
      </w:r>
      <w:r w:rsidR="00AA1061" w:rsidRPr="00314259">
        <w:rPr>
          <w:sz w:val="20"/>
          <w:szCs w:val="20"/>
        </w:rPr>
        <w:t>а</w:t>
      </w:r>
      <w:r w:rsidRPr="00314259">
        <w:rPr>
          <w:sz w:val="20"/>
          <w:szCs w:val="20"/>
        </w:rPr>
        <w:t>зу данных</w:t>
      </w:r>
      <w:r w:rsidR="00C11EA2">
        <w:rPr>
          <w:sz w:val="20"/>
          <w:szCs w:val="20"/>
        </w:rPr>
        <w:t xml:space="preserve">. </w:t>
      </w:r>
      <w:r w:rsidR="0079303C" w:rsidRPr="00314259">
        <w:rPr>
          <w:sz w:val="20"/>
          <w:szCs w:val="20"/>
        </w:rPr>
        <w:t>Для наглядности и упрощения процесса анализа выполняются графики, построенные по всем полученным значениям за весь период наблюдений</w:t>
      </w:r>
      <w:r w:rsidR="00C44E11" w:rsidRPr="00314259">
        <w:rPr>
          <w:sz w:val="20"/>
          <w:szCs w:val="20"/>
        </w:rPr>
        <w:t>. На графиках хорошо видны закономерные изменения в техническом состоянии сооружений, обусловленные изменением температуры воздуха, бетона и воды, а также условиями работы верхнего водоема</w:t>
      </w:r>
      <w:r w:rsidR="0079303C" w:rsidRPr="00314259">
        <w:rPr>
          <w:sz w:val="20"/>
          <w:szCs w:val="20"/>
        </w:rPr>
        <w:t xml:space="preserve">, при </w:t>
      </w:r>
      <w:r w:rsidR="0079303C" w:rsidRPr="00314259">
        <w:rPr>
          <w:spacing w:val="-4"/>
          <w:sz w:val="20"/>
          <w:szCs w:val="20"/>
        </w:rPr>
        <w:t>необходимости строятся эпюры отражающие данные за последний цикл наблюдений</w:t>
      </w:r>
      <w:r w:rsidR="00DC0B50">
        <w:rPr>
          <w:spacing w:val="-4"/>
          <w:sz w:val="20"/>
          <w:szCs w:val="20"/>
        </w:rPr>
        <w:t>.</w:t>
      </w:r>
      <w:r w:rsidR="0079303C" w:rsidRPr="00314259">
        <w:rPr>
          <w:spacing w:val="-4"/>
          <w:sz w:val="20"/>
          <w:szCs w:val="20"/>
        </w:rPr>
        <w:t xml:space="preserve"> </w:t>
      </w:r>
    </w:p>
    <w:p w:rsidR="00432473" w:rsidRPr="00314259" w:rsidRDefault="00A33F6A" w:rsidP="00314259">
      <w:pPr>
        <w:pStyle w:val="a4"/>
        <w:tabs>
          <w:tab w:val="left" w:pos="426"/>
        </w:tabs>
        <w:spacing w:before="120" w:after="120"/>
        <w:ind w:right="-6"/>
        <w:jc w:val="both"/>
        <w:rPr>
          <w:b/>
          <w:sz w:val="20"/>
          <w:szCs w:val="20"/>
        </w:rPr>
      </w:pPr>
      <w:r w:rsidRPr="00314259">
        <w:rPr>
          <w:b/>
          <w:sz w:val="20"/>
          <w:szCs w:val="20"/>
        </w:rPr>
        <w:t>Существующие</w:t>
      </w:r>
      <w:r w:rsidR="00432473" w:rsidRPr="00314259">
        <w:rPr>
          <w:b/>
          <w:sz w:val="20"/>
          <w:szCs w:val="20"/>
        </w:rPr>
        <w:t xml:space="preserve"> подходы </w:t>
      </w:r>
      <w:r w:rsidR="00E2621B" w:rsidRPr="00314259">
        <w:rPr>
          <w:b/>
          <w:sz w:val="20"/>
          <w:szCs w:val="20"/>
        </w:rPr>
        <w:t xml:space="preserve">к </w:t>
      </w:r>
      <w:r w:rsidR="00432473" w:rsidRPr="00314259">
        <w:rPr>
          <w:b/>
          <w:sz w:val="20"/>
          <w:szCs w:val="20"/>
        </w:rPr>
        <w:t>оценк</w:t>
      </w:r>
      <w:r w:rsidR="00E2621B" w:rsidRPr="00314259">
        <w:rPr>
          <w:b/>
          <w:sz w:val="20"/>
          <w:szCs w:val="20"/>
        </w:rPr>
        <w:t>е</w:t>
      </w:r>
      <w:r w:rsidR="00432473" w:rsidRPr="00314259">
        <w:rPr>
          <w:b/>
          <w:sz w:val="20"/>
          <w:szCs w:val="20"/>
        </w:rPr>
        <w:t xml:space="preserve"> состояния ГТС</w:t>
      </w:r>
      <w:r w:rsidR="005F348B" w:rsidRPr="00314259">
        <w:rPr>
          <w:b/>
          <w:sz w:val="20"/>
          <w:szCs w:val="20"/>
        </w:rPr>
        <w:t xml:space="preserve"> по </w:t>
      </w:r>
      <w:r w:rsidR="00E2621B" w:rsidRPr="00314259">
        <w:rPr>
          <w:b/>
          <w:sz w:val="20"/>
          <w:szCs w:val="20"/>
        </w:rPr>
        <w:t xml:space="preserve">данным </w:t>
      </w:r>
      <w:r w:rsidR="005F348B" w:rsidRPr="00314259">
        <w:rPr>
          <w:b/>
          <w:sz w:val="20"/>
          <w:szCs w:val="20"/>
        </w:rPr>
        <w:t>натурны</w:t>
      </w:r>
      <w:r w:rsidR="00E2621B" w:rsidRPr="00314259">
        <w:rPr>
          <w:b/>
          <w:sz w:val="20"/>
          <w:szCs w:val="20"/>
        </w:rPr>
        <w:t>х</w:t>
      </w:r>
      <w:r w:rsidR="005F348B" w:rsidRPr="00314259">
        <w:rPr>
          <w:b/>
          <w:sz w:val="20"/>
          <w:szCs w:val="20"/>
        </w:rPr>
        <w:t xml:space="preserve"> наблюдени</w:t>
      </w:r>
      <w:r w:rsidR="00E2621B" w:rsidRPr="00314259">
        <w:rPr>
          <w:b/>
          <w:sz w:val="20"/>
          <w:szCs w:val="20"/>
        </w:rPr>
        <w:t>й</w:t>
      </w:r>
    </w:p>
    <w:p w:rsidR="00E31F33" w:rsidRPr="00314259" w:rsidRDefault="00E31F33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В данной работе было рассмотрено и проанализировано два более широко применяемых подхода по оценки состояния гидротехнических сооружений, таких как:</w:t>
      </w:r>
    </w:p>
    <w:p w:rsidR="00E31F33" w:rsidRPr="00314259" w:rsidRDefault="00E31F33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- критерии безопасности гидротехнических сооружений;</w:t>
      </w:r>
    </w:p>
    <w:p w:rsidR="00E31F33" w:rsidRPr="00314259" w:rsidRDefault="00E31F33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- предельно допустимые показатели состояния гидротехнических сооружений. </w:t>
      </w:r>
    </w:p>
    <w:p w:rsidR="0002505B" w:rsidRPr="00314259" w:rsidRDefault="0002505B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i/>
          <w:sz w:val="20"/>
          <w:szCs w:val="20"/>
        </w:rPr>
      </w:pPr>
      <w:r w:rsidRPr="00314259">
        <w:rPr>
          <w:i/>
          <w:sz w:val="20"/>
          <w:szCs w:val="20"/>
        </w:rPr>
        <w:t>Критерии безопасности гидротехнических сооружений</w:t>
      </w:r>
    </w:p>
    <w:p w:rsidR="006B1554" w:rsidRPr="00314259" w:rsidRDefault="006B1554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Отличительной особенностью данной методике является введение двух уровней </w:t>
      </w:r>
      <w:proofErr w:type="spellStart"/>
      <w:r w:rsidRPr="00314259">
        <w:rPr>
          <w:sz w:val="20"/>
          <w:szCs w:val="20"/>
        </w:rPr>
        <w:t>критериальных</w:t>
      </w:r>
      <w:proofErr w:type="spellEnd"/>
      <w:r w:rsidRPr="00314259">
        <w:rPr>
          <w:sz w:val="20"/>
          <w:szCs w:val="20"/>
        </w:rPr>
        <w:t xml:space="preserve"> значений диагностических показателей состояния сооружений К</w:t>
      </w:r>
      <w:proofErr w:type="gramStart"/>
      <w:r w:rsidRPr="00314259">
        <w:rPr>
          <w:sz w:val="20"/>
          <w:szCs w:val="20"/>
        </w:rPr>
        <w:t>1</w:t>
      </w:r>
      <w:proofErr w:type="gramEnd"/>
      <w:r w:rsidRPr="00314259">
        <w:rPr>
          <w:sz w:val="20"/>
          <w:szCs w:val="20"/>
        </w:rPr>
        <w:t xml:space="preserve"> и К2. При этом первый уровень К</w:t>
      </w:r>
      <w:proofErr w:type="gramStart"/>
      <w:r w:rsidRPr="00314259">
        <w:rPr>
          <w:sz w:val="20"/>
          <w:szCs w:val="20"/>
        </w:rPr>
        <w:t>1</w:t>
      </w:r>
      <w:proofErr w:type="gramEnd"/>
      <w:r w:rsidRPr="00314259">
        <w:rPr>
          <w:sz w:val="20"/>
          <w:szCs w:val="20"/>
        </w:rPr>
        <w:t xml:space="preserve"> является предупреждающим. Превышение первого уровня сигнализирует о </w:t>
      </w:r>
      <w:r w:rsidRPr="00314259">
        <w:rPr>
          <w:sz w:val="20"/>
          <w:szCs w:val="20"/>
        </w:rPr>
        <w:lastRenderedPageBreak/>
        <w:t xml:space="preserve">наступлении потенциально опасного состояния и требует от собственника (эксплуатирующей организации) оповещения об этом органа надзора и </w:t>
      </w:r>
      <w:proofErr w:type="gramStart"/>
      <w:r w:rsidRPr="00314259">
        <w:rPr>
          <w:sz w:val="20"/>
          <w:szCs w:val="20"/>
        </w:rPr>
        <w:t>принятия</w:t>
      </w:r>
      <w:proofErr w:type="gramEnd"/>
      <w:r w:rsidRPr="00314259">
        <w:rPr>
          <w:sz w:val="20"/>
          <w:szCs w:val="20"/>
        </w:rPr>
        <w:t xml:space="preserve"> оперативных мер по переводу сооружения в нормальное состояние. В отличие от первого, превышение второго уровня </w:t>
      </w:r>
      <w:proofErr w:type="spellStart"/>
      <w:r w:rsidRPr="00314259">
        <w:rPr>
          <w:sz w:val="20"/>
          <w:szCs w:val="20"/>
        </w:rPr>
        <w:t>критериальных</w:t>
      </w:r>
      <w:proofErr w:type="spellEnd"/>
      <w:r w:rsidRPr="00314259">
        <w:rPr>
          <w:sz w:val="20"/>
          <w:szCs w:val="20"/>
        </w:rPr>
        <w:t xml:space="preserve"> значений</w:t>
      </w:r>
      <w:r w:rsidR="00E6726C" w:rsidRPr="00314259">
        <w:rPr>
          <w:sz w:val="20"/>
          <w:szCs w:val="20"/>
        </w:rPr>
        <w:t xml:space="preserve"> К</w:t>
      </w:r>
      <w:proofErr w:type="gramStart"/>
      <w:r w:rsidR="00E6726C" w:rsidRPr="00314259">
        <w:rPr>
          <w:sz w:val="20"/>
          <w:szCs w:val="20"/>
        </w:rPr>
        <w:t>2</w:t>
      </w:r>
      <w:proofErr w:type="gramEnd"/>
      <w:r w:rsidRPr="00314259">
        <w:rPr>
          <w:sz w:val="20"/>
          <w:szCs w:val="20"/>
        </w:rPr>
        <w:t xml:space="preserve"> влечет за собой также и ввод ограничений на режим эксплуатации гидротехнического сооружении (вплоть до понижения уровня верхнего бьефа)</w:t>
      </w:r>
      <w:r w:rsidR="00E6726C" w:rsidRPr="00314259">
        <w:rPr>
          <w:sz w:val="20"/>
          <w:szCs w:val="20"/>
        </w:rPr>
        <w:t xml:space="preserve"> и характеризуется как опасный уровень и неработоспособное (аварийное) состояние</w:t>
      </w:r>
      <w:r w:rsidRPr="00314259">
        <w:rPr>
          <w:sz w:val="20"/>
          <w:szCs w:val="20"/>
        </w:rPr>
        <w:t>.</w:t>
      </w:r>
    </w:p>
    <w:p w:rsidR="001D738E" w:rsidRPr="00314259" w:rsidRDefault="001D738E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Оперативную оценку эксплуатационного состояния сооружения и его безопасности следует осуществлять путем сравнения измеренных (или вычисленных на основе измерений) количественных и качественных диагностических показателей с их </w:t>
      </w:r>
      <w:proofErr w:type="spellStart"/>
      <w:r w:rsidRPr="00314259">
        <w:rPr>
          <w:sz w:val="20"/>
          <w:szCs w:val="20"/>
        </w:rPr>
        <w:t>критериальными</w:t>
      </w:r>
      <w:proofErr w:type="spellEnd"/>
      <w:r w:rsidRPr="00314259">
        <w:rPr>
          <w:sz w:val="20"/>
          <w:szCs w:val="20"/>
        </w:rPr>
        <w:t xml:space="preserve"> значениями К</w:t>
      </w:r>
      <w:proofErr w:type="gramStart"/>
      <w:r w:rsidRPr="00314259">
        <w:rPr>
          <w:sz w:val="20"/>
          <w:szCs w:val="20"/>
        </w:rPr>
        <w:t>1</w:t>
      </w:r>
      <w:proofErr w:type="gramEnd"/>
      <w:r w:rsidRPr="00314259">
        <w:rPr>
          <w:sz w:val="20"/>
          <w:szCs w:val="20"/>
        </w:rPr>
        <w:t xml:space="preserve"> и К2.</w:t>
      </w:r>
    </w:p>
    <w:p w:rsidR="00473988" w:rsidRPr="00314259" w:rsidRDefault="00432473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i/>
          <w:sz w:val="20"/>
          <w:szCs w:val="20"/>
        </w:rPr>
        <w:t>Предельно допустимые показатели</w:t>
      </w:r>
      <w:r w:rsidR="00A41B0A" w:rsidRPr="00314259">
        <w:rPr>
          <w:i/>
          <w:sz w:val="20"/>
          <w:szCs w:val="20"/>
        </w:rPr>
        <w:t xml:space="preserve"> (ПДП)</w:t>
      </w:r>
      <w:r w:rsidRPr="00314259">
        <w:rPr>
          <w:i/>
          <w:sz w:val="20"/>
          <w:szCs w:val="20"/>
        </w:rPr>
        <w:t xml:space="preserve"> состояния и работы гидротехнических сооружений </w:t>
      </w:r>
    </w:p>
    <w:p w:rsidR="00A71643" w:rsidRPr="00314259" w:rsidRDefault="009675D2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>Под предельно допустимыми значениями показателей имеются в виду такие, при</w:t>
      </w:r>
      <w:r w:rsidR="005F2F39" w:rsidRPr="00314259">
        <w:rPr>
          <w:sz w:val="20"/>
          <w:szCs w:val="20"/>
        </w:rPr>
        <w:t xml:space="preserve"> </w:t>
      </w:r>
      <w:r w:rsidRPr="00314259">
        <w:rPr>
          <w:sz w:val="20"/>
          <w:szCs w:val="20"/>
        </w:rPr>
        <w:t>достижении которых устойчивость или прочность сооружения, его основания или их отдельных</w:t>
      </w:r>
      <w:r w:rsidR="005F2F39" w:rsidRPr="00314259">
        <w:rPr>
          <w:sz w:val="20"/>
          <w:szCs w:val="20"/>
        </w:rPr>
        <w:t xml:space="preserve"> </w:t>
      </w:r>
      <w:r w:rsidRPr="00314259">
        <w:rPr>
          <w:sz w:val="20"/>
          <w:szCs w:val="20"/>
        </w:rPr>
        <w:t xml:space="preserve">элементов еще соответствуют нормативным требованиям. </w:t>
      </w:r>
    </w:p>
    <w:p w:rsidR="001D05E9" w:rsidRPr="00314259" w:rsidRDefault="001D05E9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Предельно допустимые контролируемые показатели рекомендуется устанавливать по </w:t>
      </w:r>
      <w:r w:rsidR="009C2C2F" w:rsidRPr="00314259">
        <w:rPr>
          <w:sz w:val="20"/>
          <w:szCs w:val="20"/>
        </w:rPr>
        <w:t>таким</w:t>
      </w:r>
      <w:r w:rsidRPr="00314259">
        <w:rPr>
          <w:sz w:val="20"/>
          <w:szCs w:val="20"/>
        </w:rPr>
        <w:t xml:space="preserve"> параметрам</w:t>
      </w:r>
      <w:r w:rsidR="009C2C2F" w:rsidRPr="00314259">
        <w:rPr>
          <w:sz w:val="20"/>
          <w:szCs w:val="20"/>
        </w:rPr>
        <w:t xml:space="preserve"> как </w:t>
      </w:r>
      <w:r w:rsidRPr="00314259">
        <w:rPr>
          <w:sz w:val="20"/>
          <w:szCs w:val="20"/>
        </w:rPr>
        <w:t>абсолютные значения показателей</w:t>
      </w:r>
      <w:r w:rsidR="009C2C2F" w:rsidRPr="00314259">
        <w:rPr>
          <w:sz w:val="20"/>
          <w:szCs w:val="20"/>
        </w:rPr>
        <w:t xml:space="preserve"> и </w:t>
      </w:r>
      <w:r w:rsidRPr="00314259">
        <w:rPr>
          <w:sz w:val="20"/>
          <w:szCs w:val="20"/>
        </w:rPr>
        <w:t>допустимая интенсивность их изменения во времени.</w:t>
      </w:r>
    </w:p>
    <w:p w:rsidR="00C96BAA" w:rsidRPr="00314259" w:rsidRDefault="00C904E5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В случаях, </w:t>
      </w:r>
      <w:r w:rsidR="00B95AEB" w:rsidRPr="00314259">
        <w:rPr>
          <w:sz w:val="20"/>
          <w:szCs w:val="20"/>
        </w:rPr>
        <w:t>п</w:t>
      </w:r>
      <w:r w:rsidR="00C96BAA" w:rsidRPr="00314259">
        <w:rPr>
          <w:sz w:val="20"/>
          <w:szCs w:val="20"/>
        </w:rPr>
        <w:t>ревышени</w:t>
      </w:r>
      <w:r w:rsidR="00B95AEB" w:rsidRPr="00314259">
        <w:rPr>
          <w:sz w:val="20"/>
          <w:szCs w:val="20"/>
        </w:rPr>
        <w:t>я</w:t>
      </w:r>
      <w:r w:rsidR="00C96BAA" w:rsidRPr="00314259">
        <w:rPr>
          <w:sz w:val="20"/>
          <w:szCs w:val="20"/>
        </w:rPr>
        <w:t xml:space="preserve"> измеренной величины одного или нескольких показателей над назначенными предельно допустимыми значениями будет указывать на то, что в состоянии сооружения происходят изменения, по сравнению </w:t>
      </w:r>
      <w:proofErr w:type="gramStart"/>
      <w:r w:rsidR="00C96BAA" w:rsidRPr="00314259">
        <w:rPr>
          <w:sz w:val="20"/>
          <w:szCs w:val="20"/>
        </w:rPr>
        <w:t>с</w:t>
      </w:r>
      <w:proofErr w:type="gramEnd"/>
      <w:r w:rsidR="00C96BAA" w:rsidRPr="00314259">
        <w:rPr>
          <w:sz w:val="20"/>
          <w:szCs w:val="20"/>
        </w:rPr>
        <w:t xml:space="preserve"> проектными. В этом случае службой эксплуатации ГТС с привлечением проектной организации производится оценка состояния сооружений и последствий возможного нарушения их нормального состояния, возможность возникновения аварийной ситуации и необходимость разработки предложений по ее исключению. </w:t>
      </w:r>
      <w:r w:rsidR="005E4172" w:rsidRPr="00314259">
        <w:rPr>
          <w:sz w:val="20"/>
          <w:szCs w:val="20"/>
        </w:rPr>
        <w:t>Оперативная оценка состояния сооружений производится на основе сравнения установленных рекомендуемых ПДП с результатами измерения этих показателей по КИА.</w:t>
      </w:r>
    </w:p>
    <w:p w:rsidR="008A6472" w:rsidRPr="00314259" w:rsidRDefault="008A6472" w:rsidP="00314259">
      <w:pPr>
        <w:pStyle w:val="a4"/>
        <w:tabs>
          <w:tab w:val="left" w:pos="426"/>
        </w:tabs>
        <w:spacing w:before="120" w:after="120"/>
        <w:ind w:right="-6"/>
        <w:jc w:val="both"/>
        <w:rPr>
          <w:b/>
          <w:sz w:val="20"/>
          <w:szCs w:val="20"/>
        </w:rPr>
      </w:pPr>
      <w:r w:rsidRPr="00314259">
        <w:rPr>
          <w:b/>
          <w:sz w:val="20"/>
          <w:szCs w:val="20"/>
        </w:rPr>
        <w:t>Выводы</w:t>
      </w:r>
    </w:p>
    <w:p w:rsidR="00B95AEB" w:rsidRPr="00314259" w:rsidRDefault="00B95AEB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proofErr w:type="gramStart"/>
      <w:r w:rsidRPr="00314259">
        <w:rPr>
          <w:sz w:val="20"/>
          <w:szCs w:val="20"/>
        </w:rPr>
        <w:t>По состоянию на настоящее время количество установленной и действующей на Днестровской ГАЭС контрольно-измерительной аппаратуры можно оценить, как условно достаточное для обеспечения надежного контроля состояния ГТС.</w:t>
      </w:r>
      <w:proofErr w:type="gramEnd"/>
    </w:p>
    <w:p w:rsidR="00A71643" w:rsidRPr="00314259" w:rsidRDefault="00A71643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proofErr w:type="gramStart"/>
      <w:r w:rsidRPr="00314259">
        <w:rPr>
          <w:sz w:val="20"/>
          <w:szCs w:val="20"/>
        </w:rPr>
        <w:lastRenderedPageBreak/>
        <w:t>Контроль и оценк</w:t>
      </w:r>
      <w:r w:rsidR="0006150B" w:rsidRPr="00314259">
        <w:rPr>
          <w:sz w:val="20"/>
          <w:szCs w:val="20"/>
        </w:rPr>
        <w:t>а</w:t>
      </w:r>
      <w:r w:rsidRPr="00314259">
        <w:rPr>
          <w:sz w:val="20"/>
          <w:szCs w:val="20"/>
        </w:rPr>
        <w:t xml:space="preserve"> состояния гидротехнических сооружений Д</w:t>
      </w:r>
      <w:r w:rsidR="00B95AEB" w:rsidRPr="00314259">
        <w:rPr>
          <w:sz w:val="20"/>
          <w:szCs w:val="20"/>
        </w:rPr>
        <w:t xml:space="preserve">нестровской </w:t>
      </w:r>
      <w:r w:rsidRPr="00314259">
        <w:rPr>
          <w:sz w:val="20"/>
          <w:szCs w:val="20"/>
        </w:rPr>
        <w:t xml:space="preserve">ГАЭС </w:t>
      </w:r>
      <w:r w:rsidR="00B95AEB" w:rsidRPr="00314259">
        <w:rPr>
          <w:sz w:val="20"/>
          <w:szCs w:val="20"/>
        </w:rPr>
        <w:t>выполняется</w:t>
      </w:r>
      <w:r w:rsidRPr="00314259">
        <w:rPr>
          <w:sz w:val="20"/>
          <w:szCs w:val="20"/>
        </w:rPr>
        <w:t xml:space="preserve"> на основании сравнения предельно допустимых показателей с количественными показателями, измеренными по установленной КИА, а также на основании анализа качественных показателей состояния сооружений, по результатам визуальных обследований.</w:t>
      </w:r>
      <w:proofErr w:type="gramEnd"/>
    </w:p>
    <w:p w:rsidR="006B1554" w:rsidRPr="00314259" w:rsidRDefault="00A41B0A" w:rsidP="00314259">
      <w:pPr>
        <w:pStyle w:val="a4"/>
        <w:tabs>
          <w:tab w:val="left" w:pos="426"/>
        </w:tabs>
        <w:spacing w:before="0" w:after="0"/>
        <w:ind w:right="-6"/>
        <w:jc w:val="both"/>
        <w:rPr>
          <w:sz w:val="20"/>
          <w:szCs w:val="20"/>
        </w:rPr>
      </w:pPr>
      <w:r w:rsidRPr="00314259">
        <w:rPr>
          <w:sz w:val="20"/>
          <w:szCs w:val="20"/>
        </w:rPr>
        <w:t xml:space="preserve">Для анализа </w:t>
      </w:r>
      <w:proofErr w:type="gramStart"/>
      <w:r w:rsidRPr="00314259">
        <w:rPr>
          <w:sz w:val="20"/>
          <w:szCs w:val="20"/>
        </w:rPr>
        <w:t>на</w:t>
      </w:r>
      <w:proofErr w:type="gramEnd"/>
      <w:r w:rsidRPr="00314259">
        <w:rPr>
          <w:sz w:val="20"/>
          <w:szCs w:val="20"/>
        </w:rPr>
        <w:t xml:space="preserve"> </w:t>
      </w:r>
      <w:proofErr w:type="gramStart"/>
      <w:r w:rsidRPr="00314259">
        <w:rPr>
          <w:sz w:val="20"/>
          <w:szCs w:val="20"/>
        </w:rPr>
        <w:t>Днестровской</w:t>
      </w:r>
      <w:proofErr w:type="gramEnd"/>
      <w:r w:rsidRPr="00314259">
        <w:rPr>
          <w:sz w:val="20"/>
          <w:szCs w:val="20"/>
        </w:rPr>
        <w:t xml:space="preserve"> ГАЭС была выбрана м</w:t>
      </w:r>
      <w:r w:rsidR="0006150B" w:rsidRPr="00314259">
        <w:rPr>
          <w:sz w:val="20"/>
          <w:szCs w:val="20"/>
        </w:rPr>
        <w:t>етодика</w:t>
      </w:r>
      <w:r w:rsidR="00A16BF1" w:rsidRPr="00314259">
        <w:rPr>
          <w:sz w:val="20"/>
          <w:szCs w:val="20"/>
        </w:rPr>
        <w:t xml:space="preserve"> предельно допустимых показателей</w:t>
      </w:r>
      <w:r w:rsidR="0006150B" w:rsidRPr="00314259">
        <w:rPr>
          <w:sz w:val="20"/>
          <w:szCs w:val="20"/>
        </w:rPr>
        <w:t xml:space="preserve"> оценки состояния гидротехнических сооружений</w:t>
      </w:r>
      <w:r w:rsidR="00AF0C40" w:rsidRPr="00314259">
        <w:rPr>
          <w:sz w:val="20"/>
          <w:szCs w:val="20"/>
        </w:rPr>
        <w:t>.</w:t>
      </w:r>
      <w:r w:rsidR="0006150B" w:rsidRPr="00314259">
        <w:rPr>
          <w:sz w:val="20"/>
          <w:szCs w:val="20"/>
        </w:rPr>
        <w:t xml:space="preserve"> </w:t>
      </w:r>
      <w:r w:rsidR="00A16BF1" w:rsidRPr="00314259">
        <w:rPr>
          <w:sz w:val="20"/>
          <w:szCs w:val="20"/>
        </w:rPr>
        <w:t>О</w:t>
      </w:r>
      <w:r w:rsidR="0006150B" w:rsidRPr="00314259">
        <w:rPr>
          <w:sz w:val="20"/>
          <w:szCs w:val="20"/>
        </w:rPr>
        <w:t>на позволяет выявить отклонения от проектного состояния до того момента как показатели измеренные по КИА превысят назначенные предельно допустимые</w:t>
      </w:r>
      <w:r w:rsidR="00AF0C40" w:rsidRPr="00314259">
        <w:rPr>
          <w:sz w:val="20"/>
          <w:szCs w:val="20"/>
        </w:rPr>
        <w:t xml:space="preserve"> показатели. В данной методике предусмотрен контроль за интенсивностью измерения показателей, резкое увеличение измерений свидетельствует о возникновении негативных явлений в гидротехнических </w:t>
      </w:r>
      <w:proofErr w:type="gramStart"/>
      <w:r w:rsidR="00AF0C40" w:rsidRPr="00314259">
        <w:rPr>
          <w:sz w:val="20"/>
          <w:szCs w:val="20"/>
        </w:rPr>
        <w:t>сооружениях</w:t>
      </w:r>
      <w:proofErr w:type="gramEnd"/>
      <w:r w:rsidR="00AF0C40" w:rsidRPr="00314259">
        <w:rPr>
          <w:sz w:val="20"/>
          <w:szCs w:val="20"/>
        </w:rPr>
        <w:t xml:space="preserve"> не предусмотренны</w:t>
      </w:r>
      <w:r w:rsidR="00A16BF1" w:rsidRPr="00314259">
        <w:rPr>
          <w:sz w:val="20"/>
          <w:szCs w:val="20"/>
        </w:rPr>
        <w:t>х</w:t>
      </w:r>
      <w:r w:rsidR="00AF0C40" w:rsidRPr="00314259">
        <w:rPr>
          <w:sz w:val="20"/>
          <w:szCs w:val="20"/>
        </w:rPr>
        <w:t xml:space="preserve"> проектом. А это в свою очередь позволит на ранних стадиях предотвратить развитие неблагоприятных процессов в гидротехнических сооружениях</w:t>
      </w:r>
      <w:r w:rsidR="00A16BF1" w:rsidRPr="00314259">
        <w:rPr>
          <w:sz w:val="20"/>
          <w:szCs w:val="20"/>
        </w:rPr>
        <w:t xml:space="preserve"> и обеспечить надежную работу всего комплекса </w:t>
      </w:r>
      <w:proofErr w:type="gramStart"/>
      <w:r w:rsidR="00A16BF1" w:rsidRPr="00314259">
        <w:rPr>
          <w:sz w:val="20"/>
          <w:szCs w:val="20"/>
        </w:rPr>
        <w:t>Днестровской</w:t>
      </w:r>
      <w:proofErr w:type="gramEnd"/>
      <w:r w:rsidR="00A16BF1" w:rsidRPr="00314259">
        <w:rPr>
          <w:sz w:val="20"/>
          <w:szCs w:val="20"/>
        </w:rPr>
        <w:t xml:space="preserve"> ГАЭС</w:t>
      </w:r>
      <w:r w:rsidR="00AF0C40" w:rsidRPr="00314259">
        <w:rPr>
          <w:sz w:val="20"/>
          <w:szCs w:val="20"/>
        </w:rPr>
        <w:t>.</w:t>
      </w:r>
    </w:p>
    <w:sectPr w:rsidR="006B1554" w:rsidRPr="00314259" w:rsidSect="00DB081C">
      <w:type w:val="continuous"/>
      <w:pgSz w:w="8391" w:h="11907" w:code="11"/>
      <w:pgMar w:top="1134" w:right="1134" w:bottom="1134" w:left="1134" w:header="170" w:footer="2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51" w:rsidRDefault="000B4051" w:rsidP="00130643">
      <w:r>
        <w:separator/>
      </w:r>
    </w:p>
  </w:endnote>
  <w:endnote w:type="continuationSeparator" w:id="0">
    <w:p w:rsidR="000B4051" w:rsidRDefault="000B4051" w:rsidP="0013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51" w:rsidRDefault="000B4051" w:rsidP="00130643">
      <w:r>
        <w:separator/>
      </w:r>
    </w:p>
  </w:footnote>
  <w:footnote w:type="continuationSeparator" w:id="0">
    <w:p w:rsidR="000B4051" w:rsidRDefault="000B4051" w:rsidP="0013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834340"/>
    <w:multiLevelType w:val="hybridMultilevel"/>
    <w:tmpl w:val="08482FFC"/>
    <w:lvl w:ilvl="0" w:tplc="0DD02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B6E9B"/>
    <w:multiLevelType w:val="multilevel"/>
    <w:tmpl w:val="8B223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D0D5D"/>
    <w:multiLevelType w:val="hybridMultilevel"/>
    <w:tmpl w:val="C290B274"/>
    <w:lvl w:ilvl="0" w:tplc="DD06ECCA">
      <w:start w:val="1"/>
      <w:numFmt w:val="bullet"/>
      <w:lvlText w:val="־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4">
    <w:nsid w:val="498E1461"/>
    <w:multiLevelType w:val="multilevel"/>
    <w:tmpl w:val="0A3CD9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5">
    <w:nsid w:val="4C841936"/>
    <w:multiLevelType w:val="hybridMultilevel"/>
    <w:tmpl w:val="669AABCE"/>
    <w:lvl w:ilvl="0" w:tplc="B49E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350DA1"/>
    <w:multiLevelType w:val="hybridMultilevel"/>
    <w:tmpl w:val="36FCA8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AE84449"/>
    <w:multiLevelType w:val="multilevel"/>
    <w:tmpl w:val="C1F4683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23666"/>
    <w:multiLevelType w:val="hybridMultilevel"/>
    <w:tmpl w:val="D6029DC4"/>
    <w:lvl w:ilvl="0" w:tplc="61789DD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633DF3"/>
    <w:multiLevelType w:val="hybridMultilevel"/>
    <w:tmpl w:val="08482FFC"/>
    <w:lvl w:ilvl="0" w:tplc="0DD02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FE"/>
    <w:rsid w:val="000246B2"/>
    <w:rsid w:val="0002505B"/>
    <w:rsid w:val="00053D10"/>
    <w:rsid w:val="00060123"/>
    <w:rsid w:val="0006095C"/>
    <w:rsid w:val="0006150B"/>
    <w:rsid w:val="0006442C"/>
    <w:rsid w:val="00072F8E"/>
    <w:rsid w:val="000A271A"/>
    <w:rsid w:val="000B4051"/>
    <w:rsid w:val="000D70DE"/>
    <w:rsid w:val="00114DEA"/>
    <w:rsid w:val="00126800"/>
    <w:rsid w:val="00130643"/>
    <w:rsid w:val="00140D1C"/>
    <w:rsid w:val="00142A08"/>
    <w:rsid w:val="00145579"/>
    <w:rsid w:val="00153374"/>
    <w:rsid w:val="0016359E"/>
    <w:rsid w:val="001A1734"/>
    <w:rsid w:val="001C3A7A"/>
    <w:rsid w:val="001D05E9"/>
    <w:rsid w:val="001D738E"/>
    <w:rsid w:val="001F2B34"/>
    <w:rsid w:val="002039A7"/>
    <w:rsid w:val="00234D14"/>
    <w:rsid w:val="00235FA8"/>
    <w:rsid w:val="002438AF"/>
    <w:rsid w:val="00247340"/>
    <w:rsid w:val="002B46C5"/>
    <w:rsid w:val="002D2319"/>
    <w:rsid w:val="0031133D"/>
    <w:rsid w:val="00314259"/>
    <w:rsid w:val="00326C75"/>
    <w:rsid w:val="0034272C"/>
    <w:rsid w:val="00345485"/>
    <w:rsid w:val="00363C4A"/>
    <w:rsid w:val="0036552F"/>
    <w:rsid w:val="003709AE"/>
    <w:rsid w:val="00374731"/>
    <w:rsid w:val="003C5CF1"/>
    <w:rsid w:val="003D6371"/>
    <w:rsid w:val="003F07D2"/>
    <w:rsid w:val="00401956"/>
    <w:rsid w:val="0042235B"/>
    <w:rsid w:val="00424F23"/>
    <w:rsid w:val="00430759"/>
    <w:rsid w:val="00432473"/>
    <w:rsid w:val="00473988"/>
    <w:rsid w:val="00492E63"/>
    <w:rsid w:val="004937B0"/>
    <w:rsid w:val="00493F39"/>
    <w:rsid w:val="004A4E4B"/>
    <w:rsid w:val="004E08EF"/>
    <w:rsid w:val="004F09D7"/>
    <w:rsid w:val="00506387"/>
    <w:rsid w:val="00514FE5"/>
    <w:rsid w:val="00524F00"/>
    <w:rsid w:val="005264C2"/>
    <w:rsid w:val="005302C6"/>
    <w:rsid w:val="00530DF3"/>
    <w:rsid w:val="00536149"/>
    <w:rsid w:val="00541100"/>
    <w:rsid w:val="00547F14"/>
    <w:rsid w:val="0056325C"/>
    <w:rsid w:val="00563ED8"/>
    <w:rsid w:val="00571492"/>
    <w:rsid w:val="005829DF"/>
    <w:rsid w:val="0059445D"/>
    <w:rsid w:val="005B17C4"/>
    <w:rsid w:val="005B28D0"/>
    <w:rsid w:val="005B725D"/>
    <w:rsid w:val="005C3E3A"/>
    <w:rsid w:val="005C4518"/>
    <w:rsid w:val="005C6EF3"/>
    <w:rsid w:val="005E4172"/>
    <w:rsid w:val="005F0407"/>
    <w:rsid w:val="005F21D3"/>
    <w:rsid w:val="005F2F39"/>
    <w:rsid w:val="005F348B"/>
    <w:rsid w:val="00612C13"/>
    <w:rsid w:val="006220A3"/>
    <w:rsid w:val="00645972"/>
    <w:rsid w:val="00656D59"/>
    <w:rsid w:val="006B1554"/>
    <w:rsid w:val="006B2C2D"/>
    <w:rsid w:val="006B55D0"/>
    <w:rsid w:val="006C2FC0"/>
    <w:rsid w:val="0070684D"/>
    <w:rsid w:val="0070759A"/>
    <w:rsid w:val="00733B62"/>
    <w:rsid w:val="007438EF"/>
    <w:rsid w:val="00750324"/>
    <w:rsid w:val="007677F0"/>
    <w:rsid w:val="007808C2"/>
    <w:rsid w:val="007905AD"/>
    <w:rsid w:val="0079164C"/>
    <w:rsid w:val="0079303C"/>
    <w:rsid w:val="00795362"/>
    <w:rsid w:val="007C5DAC"/>
    <w:rsid w:val="007C612C"/>
    <w:rsid w:val="007C756F"/>
    <w:rsid w:val="007D219B"/>
    <w:rsid w:val="007D7B98"/>
    <w:rsid w:val="007F3BB0"/>
    <w:rsid w:val="007F5272"/>
    <w:rsid w:val="00803C32"/>
    <w:rsid w:val="00806674"/>
    <w:rsid w:val="008067DE"/>
    <w:rsid w:val="00806CBC"/>
    <w:rsid w:val="00827F77"/>
    <w:rsid w:val="008332AA"/>
    <w:rsid w:val="008424E8"/>
    <w:rsid w:val="00857C2E"/>
    <w:rsid w:val="008607F9"/>
    <w:rsid w:val="0086316C"/>
    <w:rsid w:val="00882731"/>
    <w:rsid w:val="008902B7"/>
    <w:rsid w:val="008A6472"/>
    <w:rsid w:val="008B3EA5"/>
    <w:rsid w:val="008E508A"/>
    <w:rsid w:val="008E6EBC"/>
    <w:rsid w:val="008F2220"/>
    <w:rsid w:val="008F30DD"/>
    <w:rsid w:val="00907394"/>
    <w:rsid w:val="00914E1B"/>
    <w:rsid w:val="009374A2"/>
    <w:rsid w:val="00951A28"/>
    <w:rsid w:val="00955F43"/>
    <w:rsid w:val="009675D2"/>
    <w:rsid w:val="0098588E"/>
    <w:rsid w:val="009B2593"/>
    <w:rsid w:val="009B3FED"/>
    <w:rsid w:val="009C2C2F"/>
    <w:rsid w:val="009E6E85"/>
    <w:rsid w:val="009F0516"/>
    <w:rsid w:val="009F51DA"/>
    <w:rsid w:val="00A11115"/>
    <w:rsid w:val="00A16BF1"/>
    <w:rsid w:val="00A20076"/>
    <w:rsid w:val="00A33F6A"/>
    <w:rsid w:val="00A41B0A"/>
    <w:rsid w:val="00A42F50"/>
    <w:rsid w:val="00A61CB5"/>
    <w:rsid w:val="00A71643"/>
    <w:rsid w:val="00A813E8"/>
    <w:rsid w:val="00A86AFE"/>
    <w:rsid w:val="00A87294"/>
    <w:rsid w:val="00A92A61"/>
    <w:rsid w:val="00AA1061"/>
    <w:rsid w:val="00AA3885"/>
    <w:rsid w:val="00AB165D"/>
    <w:rsid w:val="00AB76A4"/>
    <w:rsid w:val="00AF0C40"/>
    <w:rsid w:val="00AF5EA2"/>
    <w:rsid w:val="00B27C30"/>
    <w:rsid w:val="00B4095C"/>
    <w:rsid w:val="00B46627"/>
    <w:rsid w:val="00B52BD6"/>
    <w:rsid w:val="00B55D6E"/>
    <w:rsid w:val="00B71073"/>
    <w:rsid w:val="00B76419"/>
    <w:rsid w:val="00B857E0"/>
    <w:rsid w:val="00B85CA3"/>
    <w:rsid w:val="00B95AEB"/>
    <w:rsid w:val="00BA209E"/>
    <w:rsid w:val="00BA4D40"/>
    <w:rsid w:val="00BB4309"/>
    <w:rsid w:val="00BC044A"/>
    <w:rsid w:val="00BC155E"/>
    <w:rsid w:val="00BC6A1E"/>
    <w:rsid w:val="00BE58FC"/>
    <w:rsid w:val="00BF3365"/>
    <w:rsid w:val="00C00DCC"/>
    <w:rsid w:val="00C02885"/>
    <w:rsid w:val="00C11EA2"/>
    <w:rsid w:val="00C13AE0"/>
    <w:rsid w:val="00C24CA9"/>
    <w:rsid w:val="00C34236"/>
    <w:rsid w:val="00C36B34"/>
    <w:rsid w:val="00C44E11"/>
    <w:rsid w:val="00C55019"/>
    <w:rsid w:val="00C663F8"/>
    <w:rsid w:val="00C7059E"/>
    <w:rsid w:val="00C8654F"/>
    <w:rsid w:val="00C904E5"/>
    <w:rsid w:val="00C96BAA"/>
    <w:rsid w:val="00CC2CA0"/>
    <w:rsid w:val="00CC4BCC"/>
    <w:rsid w:val="00CE7D3A"/>
    <w:rsid w:val="00CF1B83"/>
    <w:rsid w:val="00D2117F"/>
    <w:rsid w:val="00D312FE"/>
    <w:rsid w:val="00D54949"/>
    <w:rsid w:val="00D62CC6"/>
    <w:rsid w:val="00D72434"/>
    <w:rsid w:val="00D73227"/>
    <w:rsid w:val="00D73978"/>
    <w:rsid w:val="00D97C17"/>
    <w:rsid w:val="00DA1D6E"/>
    <w:rsid w:val="00DA3327"/>
    <w:rsid w:val="00DA5167"/>
    <w:rsid w:val="00DB081C"/>
    <w:rsid w:val="00DB75B2"/>
    <w:rsid w:val="00DC0B50"/>
    <w:rsid w:val="00DC51A2"/>
    <w:rsid w:val="00DC6656"/>
    <w:rsid w:val="00DE2619"/>
    <w:rsid w:val="00DE4DDC"/>
    <w:rsid w:val="00DE5A9A"/>
    <w:rsid w:val="00E249E3"/>
    <w:rsid w:val="00E2621B"/>
    <w:rsid w:val="00E26E73"/>
    <w:rsid w:val="00E31D24"/>
    <w:rsid w:val="00E31F33"/>
    <w:rsid w:val="00E34C4F"/>
    <w:rsid w:val="00E410E1"/>
    <w:rsid w:val="00E53AFD"/>
    <w:rsid w:val="00E6597C"/>
    <w:rsid w:val="00E6726C"/>
    <w:rsid w:val="00E84C88"/>
    <w:rsid w:val="00EB71BC"/>
    <w:rsid w:val="00ED3823"/>
    <w:rsid w:val="00EF06E5"/>
    <w:rsid w:val="00EF79A7"/>
    <w:rsid w:val="00F04134"/>
    <w:rsid w:val="00F60251"/>
    <w:rsid w:val="00F90595"/>
    <w:rsid w:val="00F973A3"/>
    <w:rsid w:val="00FB17F4"/>
    <w:rsid w:val="00FB7B3D"/>
    <w:rsid w:val="00FC3F58"/>
    <w:rsid w:val="00FD2C04"/>
    <w:rsid w:val="00FE6FE4"/>
    <w:rsid w:val="00FE755E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326C75"/>
    <w:pPr>
      <w:keepNext/>
      <w:widowControl w:val="0"/>
      <w:tabs>
        <w:tab w:val="num" w:pos="0"/>
      </w:tabs>
      <w:spacing w:before="240" w:after="120"/>
      <w:jc w:val="both"/>
      <w:outlineLvl w:val="0"/>
    </w:pPr>
    <w:rPr>
      <w:rFonts w:ascii="Arial" w:eastAsia="Lucida Sans Unicode" w:hAnsi="Arial" w:cs="Tahoma"/>
      <w:b/>
      <w:bCs/>
      <w:sz w:val="32"/>
      <w:szCs w:val="32"/>
      <w:lang w:val="uk-UA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A86AFE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47340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a1"/>
    <w:rsid w:val="00247340"/>
  </w:style>
  <w:style w:type="paragraph" w:styleId="a5">
    <w:name w:val="Balloon Text"/>
    <w:basedOn w:val="a"/>
    <w:link w:val="a6"/>
    <w:uiPriority w:val="99"/>
    <w:semiHidden/>
    <w:unhideWhenUsed/>
    <w:rsid w:val="00345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454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_отступом"/>
    <w:basedOn w:val="a"/>
    <w:rsid w:val="00BC155E"/>
    <w:pPr>
      <w:suppressAutoHyphens/>
      <w:ind w:firstLine="720"/>
      <w:jc w:val="both"/>
    </w:pPr>
    <w:rPr>
      <w:sz w:val="24"/>
      <w:lang w:eastAsia="ar-SA"/>
    </w:rPr>
  </w:style>
  <w:style w:type="paragraph" w:customStyle="1" w:styleId="a8">
    <w:name w:val="Содержимое таблицы"/>
    <w:basedOn w:val="a"/>
    <w:rsid w:val="008067DE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1"/>
    <w:link w:val="1"/>
    <w:rsid w:val="00326C75"/>
    <w:rPr>
      <w:rFonts w:ascii="Arial" w:eastAsia="Lucida Sans Unicode" w:hAnsi="Arial" w:cs="Tahoma"/>
      <w:b/>
      <w:bCs/>
      <w:sz w:val="32"/>
      <w:szCs w:val="32"/>
      <w:lang w:val="uk-UA" w:eastAsia="ru-RU" w:bidi="ru-RU"/>
    </w:rPr>
  </w:style>
  <w:style w:type="paragraph" w:styleId="a0">
    <w:name w:val="Body Text"/>
    <w:basedOn w:val="a"/>
    <w:link w:val="a9"/>
    <w:uiPriority w:val="99"/>
    <w:semiHidden/>
    <w:unhideWhenUsed/>
    <w:rsid w:val="00326C7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26C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39"/>
    <w:rsid w:val="00130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306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30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306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30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3D6371"/>
    <w:rPr>
      <w:color w:val="0000FF"/>
      <w:u w:val="single"/>
    </w:rPr>
  </w:style>
  <w:style w:type="character" w:styleId="af0">
    <w:name w:val="Strong"/>
    <w:basedOn w:val="a1"/>
    <w:uiPriority w:val="22"/>
    <w:qFormat/>
    <w:rsid w:val="0016359E"/>
    <w:rPr>
      <w:b/>
      <w:bCs/>
    </w:rPr>
  </w:style>
  <w:style w:type="paragraph" w:customStyle="1" w:styleId="af1">
    <w:name w:val="Без інтервалів"/>
    <w:qFormat/>
    <w:rsid w:val="00514F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326C75"/>
    <w:pPr>
      <w:keepNext/>
      <w:widowControl w:val="0"/>
      <w:tabs>
        <w:tab w:val="num" w:pos="0"/>
      </w:tabs>
      <w:spacing w:before="240" w:after="120"/>
      <w:jc w:val="both"/>
      <w:outlineLvl w:val="0"/>
    </w:pPr>
    <w:rPr>
      <w:rFonts w:ascii="Arial" w:eastAsia="Lucida Sans Unicode" w:hAnsi="Arial" w:cs="Tahoma"/>
      <w:b/>
      <w:bCs/>
      <w:sz w:val="32"/>
      <w:szCs w:val="32"/>
      <w:lang w:val="uk-UA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A86AFE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47340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a1"/>
    <w:rsid w:val="00247340"/>
  </w:style>
  <w:style w:type="paragraph" w:styleId="a5">
    <w:name w:val="Balloon Text"/>
    <w:basedOn w:val="a"/>
    <w:link w:val="a6"/>
    <w:uiPriority w:val="99"/>
    <w:semiHidden/>
    <w:unhideWhenUsed/>
    <w:rsid w:val="003454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454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_отступом"/>
    <w:basedOn w:val="a"/>
    <w:rsid w:val="00BC155E"/>
    <w:pPr>
      <w:suppressAutoHyphens/>
      <w:ind w:firstLine="720"/>
      <w:jc w:val="both"/>
    </w:pPr>
    <w:rPr>
      <w:sz w:val="24"/>
      <w:lang w:eastAsia="ar-SA"/>
    </w:rPr>
  </w:style>
  <w:style w:type="paragraph" w:customStyle="1" w:styleId="a8">
    <w:name w:val="Содержимое таблицы"/>
    <w:basedOn w:val="a"/>
    <w:rsid w:val="008067DE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1"/>
    <w:link w:val="1"/>
    <w:rsid w:val="00326C75"/>
    <w:rPr>
      <w:rFonts w:ascii="Arial" w:eastAsia="Lucida Sans Unicode" w:hAnsi="Arial" w:cs="Tahoma"/>
      <w:b/>
      <w:bCs/>
      <w:sz w:val="32"/>
      <w:szCs w:val="32"/>
      <w:lang w:val="uk-UA" w:eastAsia="ru-RU" w:bidi="ru-RU"/>
    </w:rPr>
  </w:style>
  <w:style w:type="paragraph" w:styleId="a0">
    <w:name w:val="Body Text"/>
    <w:basedOn w:val="a"/>
    <w:link w:val="a9"/>
    <w:uiPriority w:val="99"/>
    <w:semiHidden/>
    <w:unhideWhenUsed/>
    <w:rsid w:val="00326C7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26C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39"/>
    <w:rsid w:val="00130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306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30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306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30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3D6371"/>
    <w:rPr>
      <w:color w:val="0000FF"/>
      <w:u w:val="single"/>
    </w:rPr>
  </w:style>
  <w:style w:type="character" w:styleId="af0">
    <w:name w:val="Strong"/>
    <w:basedOn w:val="a1"/>
    <w:uiPriority w:val="22"/>
    <w:qFormat/>
    <w:rsid w:val="0016359E"/>
    <w:rPr>
      <w:b/>
      <w:bCs/>
    </w:rPr>
  </w:style>
  <w:style w:type="paragraph" w:customStyle="1" w:styleId="af1">
    <w:name w:val="Без інтервалів"/>
    <w:qFormat/>
    <w:rsid w:val="00514F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o@uhp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2A1-AD67-480F-B402-051F078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Ukrhydroproject</Company>
  <LinksUpToDate>false</LinksUpToDate>
  <CharactersWithSpaces>7148</CharactersWithSpaces>
  <SharedDoc>false</SharedDoc>
  <HLinks>
    <vt:vector size="24" baseType="variant">
      <vt:variant>
        <vt:i4>7864377</vt:i4>
      </vt:variant>
      <vt:variant>
        <vt:i4>9</vt:i4>
      </vt:variant>
      <vt:variant>
        <vt:i4>0</vt:i4>
      </vt:variant>
      <vt:variant>
        <vt:i4>5</vt:i4>
      </vt:variant>
      <vt:variant>
        <vt:lpwstr>http://www.nti.uhp/viewArticle.php?id=44415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http://www.nti.uhp/viewArticle.php?id=41038</vt:lpwstr>
      </vt:variant>
      <vt:variant>
        <vt:lpwstr/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http://www.nti.uhp/viewArticle.php?id=44418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http://www.nti.uhp/viewArticle.php?id=45602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Kovalenko_V_V</dc:creator>
  <cp:keywords/>
  <dc:description/>
  <cp:lastModifiedBy>Kovalenko_V_V</cp:lastModifiedBy>
  <cp:revision>6</cp:revision>
  <cp:lastPrinted>2014-11-12T06:56:00Z</cp:lastPrinted>
  <dcterms:created xsi:type="dcterms:W3CDTF">2014-11-11T08:08:00Z</dcterms:created>
  <dcterms:modified xsi:type="dcterms:W3CDTF">2014-11-13T12:18:00Z</dcterms:modified>
</cp:coreProperties>
</file>