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8" w:rsidRPr="008D2A1A" w:rsidRDefault="00A64FB8">
      <w:pPr>
        <w:widowControl w:val="0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3E325D">
        <w:rPr>
          <w:b/>
          <w:bCs/>
          <w:sz w:val="20"/>
          <w:szCs w:val="20"/>
        </w:rPr>
        <w:t>ВЛИЯНИЕ НЕКОТОРЫХ ТЕХНОЛОГИЧЕСКИХ ФАКТОРОВ НА</w:t>
      </w:r>
      <w:r w:rsidR="003E325D">
        <w:rPr>
          <w:b/>
          <w:bCs/>
          <w:sz w:val="20"/>
          <w:szCs w:val="20"/>
        </w:rPr>
        <w:t xml:space="preserve"> </w:t>
      </w:r>
      <w:r w:rsidRPr="003E325D">
        <w:rPr>
          <w:b/>
          <w:bCs/>
          <w:sz w:val="20"/>
          <w:szCs w:val="20"/>
        </w:rPr>
        <w:t>ПРОЧНОСТЬ И ДЕФОРМАТИВНОСТЬ КЛЕЕВОЙ АНКЕРОВКИ</w:t>
      </w:r>
      <w:r w:rsidR="003E325D">
        <w:rPr>
          <w:b/>
          <w:bCs/>
          <w:sz w:val="20"/>
          <w:szCs w:val="20"/>
        </w:rPr>
        <w:t xml:space="preserve"> </w:t>
      </w:r>
      <w:r w:rsidRPr="003E325D">
        <w:rPr>
          <w:b/>
          <w:bCs/>
          <w:sz w:val="20"/>
          <w:szCs w:val="20"/>
        </w:rPr>
        <w:t>АРМАТУРНЫХ СТЕРЖНЕЙ</w:t>
      </w:r>
      <w:r w:rsidR="008D2A1A" w:rsidRPr="00566BDF">
        <w:rPr>
          <w:b/>
          <w:bCs/>
          <w:sz w:val="20"/>
          <w:szCs w:val="20"/>
        </w:rPr>
        <w:t xml:space="preserve"> </w:t>
      </w:r>
      <w:r w:rsidR="008D2A1A" w:rsidRPr="00566BDF">
        <w:rPr>
          <w:b/>
          <w:bCs/>
          <w:caps/>
          <w:sz w:val="20"/>
          <w:szCs w:val="20"/>
        </w:rPr>
        <w:t>серповидного профиля</w:t>
      </w:r>
    </w:p>
    <w:p w:rsidR="00A64FB8" w:rsidRPr="00566BDF" w:rsidRDefault="00A64FB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E325D" w:rsidRDefault="008D2A1A" w:rsidP="003E325D">
      <w:pPr>
        <w:rPr>
          <w:caps/>
          <w:sz w:val="20"/>
          <w:szCs w:val="20"/>
          <w:lang w:val="uk-UA"/>
        </w:rPr>
      </w:pPr>
      <w:r w:rsidRPr="000F4A34">
        <w:rPr>
          <w:caps/>
          <w:sz w:val="20"/>
          <w:szCs w:val="20"/>
          <w:lang w:val="uk-UA"/>
        </w:rPr>
        <w:t>м.</w:t>
      </w:r>
      <w:r w:rsidR="003E325D" w:rsidRPr="000F4A34">
        <w:rPr>
          <w:caps/>
          <w:sz w:val="20"/>
          <w:szCs w:val="20"/>
          <w:lang w:val="uk-UA"/>
        </w:rPr>
        <w:t>с. золотов,</w:t>
      </w:r>
      <w:r w:rsidR="003E325D">
        <w:rPr>
          <w:caps/>
          <w:sz w:val="20"/>
          <w:szCs w:val="20"/>
          <w:lang w:val="uk-UA"/>
        </w:rPr>
        <w:t xml:space="preserve"> в.а. скляров,</w:t>
      </w:r>
      <w:r w:rsidR="003E325D" w:rsidRPr="000F4A34">
        <w:rPr>
          <w:caps/>
          <w:sz w:val="20"/>
          <w:szCs w:val="20"/>
          <w:lang w:val="uk-UA"/>
        </w:rPr>
        <w:t xml:space="preserve"> </w:t>
      </w:r>
      <w:r w:rsidR="003E325D" w:rsidRPr="00DE3B25">
        <w:rPr>
          <w:rStyle w:val="TimesNewRoman"/>
          <w:i/>
          <w:iCs/>
          <w:sz w:val="20"/>
          <w:szCs w:val="20"/>
          <w:lang w:val="ru-RU"/>
        </w:rPr>
        <w:t>канд</w:t>
      </w:r>
      <w:r w:rsidR="003E325D" w:rsidRPr="00DE3B25">
        <w:rPr>
          <w:rStyle w:val="TimesNewRoman"/>
          <w:i/>
          <w:iCs/>
          <w:sz w:val="20"/>
          <w:szCs w:val="20"/>
        </w:rPr>
        <w:t>идаты</w:t>
      </w:r>
      <w:r w:rsidR="003E325D" w:rsidRPr="00DE3B25">
        <w:rPr>
          <w:rStyle w:val="TimesNewRoman"/>
          <w:i/>
          <w:iCs/>
          <w:sz w:val="20"/>
          <w:szCs w:val="20"/>
          <w:lang w:val="ru-RU"/>
        </w:rPr>
        <w:t xml:space="preserve"> техн. наук</w:t>
      </w:r>
      <w:r w:rsidR="003E325D" w:rsidRPr="000F4A34">
        <w:rPr>
          <w:sz w:val="20"/>
          <w:szCs w:val="20"/>
          <w:lang w:val="uk-UA"/>
        </w:rPr>
        <w:t xml:space="preserve">, </w:t>
      </w:r>
      <w:r w:rsidR="003E325D">
        <w:rPr>
          <w:caps/>
          <w:sz w:val="20"/>
          <w:szCs w:val="20"/>
          <w:lang w:val="uk-UA"/>
        </w:rPr>
        <w:t>а.х. дауд</w:t>
      </w:r>
    </w:p>
    <w:p w:rsidR="003E325D" w:rsidRPr="000F4A34" w:rsidRDefault="003E325D" w:rsidP="003E325D">
      <w:pPr>
        <w:rPr>
          <w:i/>
          <w:iCs/>
          <w:sz w:val="20"/>
          <w:szCs w:val="20"/>
          <w:lang w:val="uk-UA"/>
        </w:rPr>
      </w:pPr>
      <w:r w:rsidRPr="000F4A34">
        <w:rPr>
          <w:i/>
          <w:iCs/>
          <w:sz w:val="20"/>
          <w:szCs w:val="20"/>
          <w:lang w:val="uk-UA"/>
        </w:rPr>
        <w:t xml:space="preserve">Харьковский национальный университет городского хозяйства </w:t>
      </w:r>
    </w:p>
    <w:p w:rsidR="003E325D" w:rsidRPr="000F4A34" w:rsidRDefault="003E325D" w:rsidP="003E325D">
      <w:pPr>
        <w:rPr>
          <w:i/>
          <w:iCs/>
          <w:sz w:val="20"/>
          <w:szCs w:val="20"/>
        </w:rPr>
      </w:pPr>
      <w:r w:rsidRPr="000F4A34">
        <w:rPr>
          <w:i/>
          <w:iCs/>
          <w:sz w:val="20"/>
          <w:szCs w:val="20"/>
        </w:rPr>
        <w:t>имени А.Н. Бекетова</w:t>
      </w:r>
    </w:p>
    <w:p w:rsidR="003E325D" w:rsidRPr="000F4A34" w:rsidRDefault="003E325D" w:rsidP="003E325D">
      <w:pPr>
        <w:rPr>
          <w:i/>
          <w:iCs/>
          <w:sz w:val="20"/>
          <w:szCs w:val="20"/>
        </w:rPr>
      </w:pPr>
      <w:r w:rsidRPr="000F4A34">
        <w:rPr>
          <w:i/>
          <w:iCs/>
          <w:sz w:val="20"/>
          <w:szCs w:val="20"/>
        </w:rPr>
        <w:t>61002, Украина, г. Харьков, ул. Революции, 12</w:t>
      </w:r>
    </w:p>
    <w:p w:rsidR="003E325D" w:rsidRPr="000F4A34" w:rsidRDefault="003E325D" w:rsidP="003E325D">
      <w:pPr>
        <w:rPr>
          <w:i/>
          <w:iCs/>
          <w:sz w:val="20"/>
          <w:szCs w:val="20"/>
          <w:lang w:val="en-US"/>
        </w:rPr>
      </w:pPr>
      <w:r w:rsidRPr="000F4A34">
        <w:rPr>
          <w:i/>
          <w:iCs/>
          <w:sz w:val="20"/>
          <w:szCs w:val="20"/>
          <w:lang w:val="uk-UA"/>
        </w:rPr>
        <w:t>Е-mail: zolotov@kname.edu.ua</w:t>
      </w:r>
    </w:p>
    <w:p w:rsidR="00A64FB8" w:rsidRPr="003E325D" w:rsidRDefault="00A64FB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Технология закрепления арматурных стержней в бетоне с пом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 xml:space="preserve">щью акриловых клеев состоит из </w:t>
      </w:r>
      <w:r w:rsidR="003E325D">
        <w:rPr>
          <w:sz w:val="20"/>
          <w:szCs w:val="20"/>
        </w:rPr>
        <w:t>следующих</w:t>
      </w:r>
      <w:r w:rsidRPr="003E325D">
        <w:rPr>
          <w:sz w:val="20"/>
          <w:szCs w:val="20"/>
        </w:rPr>
        <w:t xml:space="preserve"> операций: образования скважин в бетоне или железобетоне, приготовления акрилового клея, установки арматурных стержней и заливки скважин клеем.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Вместе с тем при выполнении анкероустановочных ра</w:t>
      </w:r>
      <w:bookmarkStart w:id="0" w:name="_GoBack"/>
      <w:bookmarkEnd w:id="0"/>
      <w:r w:rsidRPr="003E325D">
        <w:rPr>
          <w:sz w:val="20"/>
          <w:szCs w:val="20"/>
        </w:rPr>
        <w:t>бот, как по заделке в бетон одиночных стержней, так и арматурных выпусков сборных элементов железобетонных конструкций возникает ряд фа</w:t>
      </w:r>
      <w:r w:rsidRPr="003E325D">
        <w:rPr>
          <w:sz w:val="20"/>
          <w:szCs w:val="20"/>
        </w:rPr>
        <w:t>к</w:t>
      </w:r>
      <w:r w:rsidRPr="003E325D">
        <w:rPr>
          <w:sz w:val="20"/>
          <w:szCs w:val="20"/>
        </w:rPr>
        <w:t>торов, которые могут влиять на прочность и деформативность анке</w:t>
      </w:r>
      <w:r w:rsidRPr="003E325D">
        <w:rPr>
          <w:sz w:val="20"/>
          <w:szCs w:val="20"/>
        </w:rPr>
        <w:t>р</w:t>
      </w:r>
      <w:r w:rsidRPr="003E325D">
        <w:rPr>
          <w:sz w:val="20"/>
          <w:szCs w:val="20"/>
        </w:rPr>
        <w:t>ных соединений. Это прежде всего технологические факторы, к кот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>рым прежде всего относятся глубина скважин, пробуренных в бетоне, их диаметр. Первый фактор зависит от применяемых составов акрил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 xml:space="preserve">вых клеев, а второй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от диаметра скважины в бетоне. В свою очередь диаметр скважины в бетоне также зависит от наличия бурового и</w:t>
      </w:r>
      <w:r w:rsidRPr="003E325D">
        <w:rPr>
          <w:sz w:val="20"/>
          <w:szCs w:val="20"/>
        </w:rPr>
        <w:t>н</w:t>
      </w:r>
      <w:r w:rsidRPr="003E325D">
        <w:rPr>
          <w:sz w:val="20"/>
          <w:szCs w:val="20"/>
        </w:rPr>
        <w:t>струмента у строителей (сверла электрического бурильного инстр</w:t>
      </w:r>
      <w:r w:rsidRPr="003E325D">
        <w:rPr>
          <w:sz w:val="20"/>
          <w:szCs w:val="20"/>
        </w:rPr>
        <w:t>у</w:t>
      </w:r>
      <w:r w:rsidRPr="003E325D">
        <w:rPr>
          <w:sz w:val="20"/>
          <w:szCs w:val="20"/>
        </w:rPr>
        <w:t>мента или коронки пневматического перфоратора) и величины допу</w:t>
      </w:r>
      <w:r w:rsidRPr="003E325D">
        <w:rPr>
          <w:sz w:val="20"/>
          <w:szCs w:val="20"/>
        </w:rPr>
        <w:t>с</w:t>
      </w:r>
      <w:r w:rsidRPr="003E325D">
        <w:rPr>
          <w:sz w:val="20"/>
          <w:szCs w:val="20"/>
        </w:rPr>
        <w:t>ков на изготовление арматурных каркасов и сетки.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В связи с указанным, возникла необходимость проведения эксп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риментов по определению влияния указанных выше факторов на прочность и деформативность клеевой анкеровки. Эти исследования проводились на образцах анкерных соединений. Они представляли собой следующее. Были изготовлены железобетонные призмы, пр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>дольное армирование которых осуществлялось исходя из предполаг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 xml:space="preserve">емых величин разрушающих усилий анкерного соединения </w:t>
      </w:r>
      <w:r w:rsidR="003E325D">
        <w:rPr>
          <w:sz w:val="20"/>
          <w:szCs w:val="20"/>
        </w:rPr>
        <w:t>армату</w:t>
      </w:r>
      <w:r w:rsidR="003E325D">
        <w:rPr>
          <w:sz w:val="20"/>
          <w:szCs w:val="20"/>
        </w:rPr>
        <w:t>р</w:t>
      </w:r>
      <w:r w:rsidR="003E325D">
        <w:rPr>
          <w:sz w:val="20"/>
          <w:szCs w:val="20"/>
        </w:rPr>
        <w:t>ными</w:t>
      </w:r>
      <w:r w:rsidRPr="003E325D">
        <w:rPr>
          <w:sz w:val="20"/>
          <w:szCs w:val="20"/>
        </w:rPr>
        <w:t xml:space="preserve"> стержнями </w:t>
      </w:r>
      <w:r w:rsidR="003E325D">
        <w:rPr>
          <w:sz w:val="20"/>
          <w:szCs w:val="20"/>
        </w:rPr>
        <w:sym w:font="Symbol" w:char="F0C6"/>
      </w:r>
      <w:r w:rsidRPr="00566BDF">
        <w:rPr>
          <w:sz w:val="20"/>
          <w:szCs w:val="20"/>
        </w:rPr>
        <w:t>2</w:t>
      </w:r>
      <w:r w:rsidR="003E325D">
        <w:rPr>
          <w:sz w:val="20"/>
          <w:szCs w:val="20"/>
        </w:rPr>
        <w:t>5 240С</w:t>
      </w:r>
      <w:r w:rsidRPr="003E325D">
        <w:rPr>
          <w:sz w:val="20"/>
          <w:szCs w:val="20"/>
        </w:rPr>
        <w:t xml:space="preserve">. Поперечное армирование осуществлялось стержнями </w:t>
      </w:r>
      <w:r w:rsidR="003E325D">
        <w:rPr>
          <w:sz w:val="20"/>
          <w:szCs w:val="20"/>
        </w:rPr>
        <w:sym w:font="Symbol" w:char="F0C6"/>
      </w:r>
      <w:r w:rsidRPr="00566BDF">
        <w:rPr>
          <w:sz w:val="20"/>
          <w:szCs w:val="20"/>
        </w:rPr>
        <w:t>10</w:t>
      </w:r>
      <w:r w:rsidR="003E325D">
        <w:rPr>
          <w:sz w:val="20"/>
          <w:szCs w:val="20"/>
        </w:rPr>
        <w:t> 240С</w:t>
      </w:r>
      <w:r w:rsidRPr="003E325D">
        <w:rPr>
          <w:sz w:val="20"/>
          <w:szCs w:val="20"/>
        </w:rPr>
        <w:t xml:space="preserve">. Арматура </w:t>
      </w:r>
      <w:r w:rsidR="003E325D">
        <w:rPr>
          <w:sz w:val="20"/>
          <w:szCs w:val="20"/>
        </w:rPr>
        <w:sym w:font="Symbol" w:char="F0C6"/>
      </w:r>
      <w:r w:rsidRPr="00566BDF">
        <w:rPr>
          <w:sz w:val="20"/>
          <w:szCs w:val="20"/>
        </w:rPr>
        <w:t>10</w:t>
      </w:r>
      <w:r w:rsidR="003E325D">
        <w:rPr>
          <w:sz w:val="20"/>
          <w:szCs w:val="20"/>
        </w:rPr>
        <w:t> 240С</w:t>
      </w:r>
      <w:r w:rsidRPr="003E325D">
        <w:rPr>
          <w:sz w:val="20"/>
          <w:szCs w:val="20"/>
        </w:rPr>
        <w:t xml:space="preserve"> для поперечного армиров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>ния была принята с учетом возникающих радиальных напряжений в бетоне.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 xml:space="preserve">Поперечный размер бетонных призм принимался равным </w:t>
      </w:r>
      <w:r w:rsidR="003E325D">
        <w:rPr>
          <w:sz w:val="20"/>
          <w:szCs w:val="20"/>
        </w:rPr>
        <w:t xml:space="preserve">                    </w:t>
      </w:r>
      <w:r w:rsidRPr="003E325D">
        <w:rPr>
          <w:sz w:val="20"/>
          <w:szCs w:val="20"/>
        </w:rPr>
        <w:t xml:space="preserve">230х230 мм, а высота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исходя из глубины заделки в бетон арматурн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 xml:space="preserve">го стержня. Отверстия в бетоне 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скв.</w:t>
      </w:r>
      <w:r w:rsidRPr="003E325D">
        <w:rPr>
          <w:sz w:val="20"/>
          <w:szCs w:val="20"/>
        </w:rPr>
        <w:t xml:space="preserve"> формировались при бетониров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lastRenderedPageBreak/>
        <w:t>нии железобетонного образца. Для определения влияния глубины з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>делки арматурных стержней применялся акриловый клей двух сост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>вов. Первый</w:t>
      </w:r>
      <w:r w:rsidR="003E325D">
        <w:rPr>
          <w:sz w:val="20"/>
          <w:szCs w:val="20"/>
        </w:rPr>
        <w:t>, стандарный,</w:t>
      </w:r>
      <w:r w:rsidRPr="003E325D">
        <w:rPr>
          <w:sz w:val="20"/>
          <w:szCs w:val="20"/>
        </w:rPr>
        <w:t xml:space="preserve"> состоял из акрилового компаунда и напо</w:t>
      </w:r>
      <w:r w:rsidRPr="003E325D">
        <w:rPr>
          <w:sz w:val="20"/>
          <w:szCs w:val="20"/>
        </w:rPr>
        <w:t>л</w:t>
      </w:r>
      <w:r w:rsidRPr="003E325D">
        <w:rPr>
          <w:sz w:val="20"/>
          <w:szCs w:val="20"/>
        </w:rPr>
        <w:t xml:space="preserve">нителя (кварцевого песка), а второй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из акрилового компаунда, наполнителя и модифи</w:t>
      </w:r>
      <w:r w:rsidR="003E325D">
        <w:rPr>
          <w:sz w:val="20"/>
          <w:szCs w:val="20"/>
        </w:rPr>
        <w:t>цирующей добавки</w:t>
      </w:r>
      <w:r w:rsidRPr="003E325D">
        <w:rPr>
          <w:sz w:val="20"/>
          <w:szCs w:val="20"/>
        </w:rPr>
        <w:t xml:space="preserve"> (окись цинка)</w:t>
      </w:r>
      <w:r w:rsidR="003E325D">
        <w:rPr>
          <w:sz w:val="20"/>
          <w:szCs w:val="20"/>
        </w:rPr>
        <w:t>, повышающей адгезионную прочность клея. Все образцы бетонных призм изготавл</w:t>
      </w:r>
      <w:r w:rsidR="003E325D">
        <w:rPr>
          <w:sz w:val="20"/>
          <w:szCs w:val="20"/>
        </w:rPr>
        <w:t>я</w:t>
      </w:r>
      <w:r w:rsidR="003E325D">
        <w:rPr>
          <w:sz w:val="20"/>
          <w:szCs w:val="20"/>
        </w:rPr>
        <w:t>лись из бетона класса С 20/25.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Первая партия состояла из двух серий образцов с глубиной заде</w:t>
      </w:r>
      <w:r w:rsidRPr="003E325D">
        <w:rPr>
          <w:sz w:val="20"/>
          <w:szCs w:val="20"/>
        </w:rPr>
        <w:t>л</w:t>
      </w:r>
      <w:r w:rsidRPr="003E325D">
        <w:rPr>
          <w:sz w:val="20"/>
          <w:szCs w:val="20"/>
        </w:rPr>
        <w:t>ки арматурных стержней класса А500С диаметром</w:t>
      </w:r>
      <w:r w:rsidR="008D2A1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8D2A1A">
          <w:rPr>
            <w:sz w:val="20"/>
            <w:szCs w:val="20"/>
          </w:rPr>
          <w:t>20 мм</w:t>
        </w:r>
      </w:smartTag>
      <w:r w:rsidR="008D2A1A">
        <w:rPr>
          <w:sz w:val="20"/>
          <w:szCs w:val="20"/>
        </w:rPr>
        <w:t xml:space="preserve"> и глубиной заделки</w:t>
      </w:r>
      <w:r w:rsidRPr="003E325D">
        <w:rPr>
          <w:sz w:val="20"/>
          <w:szCs w:val="20"/>
        </w:rPr>
        <w:t xml:space="preserve"> 1</w:t>
      </w:r>
      <w:r w:rsidR="003E325D">
        <w:rPr>
          <w:sz w:val="20"/>
          <w:szCs w:val="20"/>
        </w:rPr>
        <w:t>7,5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 xml:space="preserve"> и 2</w:t>
      </w:r>
      <w:r w:rsidR="003E325D">
        <w:rPr>
          <w:sz w:val="20"/>
          <w:szCs w:val="20"/>
        </w:rPr>
        <w:t>2,5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 xml:space="preserve">. Во второй партии было изготовлено три серии образцов с глубиной заделки </w:t>
      </w:r>
      <w:r w:rsidRPr="003E325D">
        <w:rPr>
          <w:i/>
          <w:iCs/>
          <w:sz w:val="20"/>
          <w:szCs w:val="20"/>
        </w:rPr>
        <w:t>l</w:t>
      </w:r>
      <w:r w:rsidRPr="003E325D">
        <w:rPr>
          <w:i/>
          <w:iCs/>
          <w:sz w:val="20"/>
          <w:szCs w:val="20"/>
          <w:vertAlign w:val="subscript"/>
        </w:rPr>
        <w:t>анк.</w:t>
      </w:r>
      <w:r w:rsidRPr="003E325D">
        <w:rPr>
          <w:sz w:val="20"/>
          <w:szCs w:val="20"/>
        </w:rPr>
        <w:t xml:space="preserve"> = 1</w:t>
      </w:r>
      <w:r w:rsidR="003E325D">
        <w:rPr>
          <w:sz w:val="20"/>
          <w:szCs w:val="20"/>
        </w:rPr>
        <w:t>7,</w:t>
      </w:r>
      <w:r w:rsidRPr="003E325D">
        <w:rPr>
          <w:sz w:val="20"/>
          <w:szCs w:val="20"/>
        </w:rPr>
        <w:t>5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>. В этой партии в качестве арматуры использовались стержни диаметром 16 А500С, 20 А500С и 2</w:t>
      </w:r>
      <w:r w:rsidR="003E325D">
        <w:rPr>
          <w:sz w:val="20"/>
          <w:szCs w:val="20"/>
        </w:rPr>
        <w:t>5</w:t>
      </w:r>
      <w:r w:rsidRPr="003E325D">
        <w:rPr>
          <w:sz w:val="20"/>
          <w:szCs w:val="20"/>
        </w:rPr>
        <w:t xml:space="preserve"> А500С. В третьей партии было изготовлено четыре серии образцов с глубиной заделки </w:t>
      </w:r>
      <w:r w:rsidRPr="003E325D">
        <w:rPr>
          <w:i/>
          <w:iCs/>
          <w:sz w:val="20"/>
          <w:szCs w:val="20"/>
        </w:rPr>
        <w:t>l</w:t>
      </w:r>
      <w:r w:rsidRPr="003E325D">
        <w:rPr>
          <w:i/>
          <w:iCs/>
          <w:sz w:val="20"/>
          <w:szCs w:val="20"/>
          <w:vertAlign w:val="subscript"/>
        </w:rPr>
        <w:t>анк.</w:t>
      </w:r>
      <w:r w:rsidRPr="003E325D">
        <w:rPr>
          <w:sz w:val="20"/>
          <w:szCs w:val="20"/>
        </w:rPr>
        <w:t xml:space="preserve"> = 1</w:t>
      </w:r>
      <w:r w:rsidR="003E325D">
        <w:rPr>
          <w:sz w:val="20"/>
          <w:szCs w:val="20"/>
        </w:rPr>
        <w:t>7,</w:t>
      </w:r>
      <w:r w:rsidRPr="003E325D">
        <w:rPr>
          <w:sz w:val="20"/>
          <w:szCs w:val="20"/>
        </w:rPr>
        <w:t>5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s</w:t>
      </w:r>
      <w:r w:rsidR="008D2A1A">
        <w:rPr>
          <w:sz w:val="20"/>
          <w:szCs w:val="20"/>
        </w:rPr>
        <w:t xml:space="preserve"> и диаметром скважин 24, 30, 36 и                          </w:t>
      </w:r>
      <w:smartTag w:uri="urn:schemas-microsoft-com:office:smarttags" w:element="metricconverter">
        <w:smartTagPr>
          <w:attr w:name="ProductID" w:val="42 мм"/>
        </w:smartTagPr>
        <w:r w:rsidR="008D2A1A">
          <w:rPr>
            <w:sz w:val="20"/>
            <w:szCs w:val="20"/>
          </w:rPr>
          <w:t>42 мм</w:t>
        </w:r>
      </w:smartTag>
      <w:r w:rsidR="008D2A1A">
        <w:rPr>
          <w:sz w:val="20"/>
          <w:szCs w:val="20"/>
        </w:rPr>
        <w:t xml:space="preserve">, </w:t>
      </w:r>
      <w:r w:rsidRPr="003E325D">
        <w:rPr>
          <w:sz w:val="20"/>
          <w:szCs w:val="20"/>
        </w:rPr>
        <w:t xml:space="preserve">а в качестве арматуры использовались стержни </w:t>
      </w:r>
      <w:r w:rsidR="008D2A1A">
        <w:rPr>
          <w:sz w:val="20"/>
          <w:szCs w:val="20"/>
        </w:rPr>
        <w:sym w:font="Symbol" w:char="F0C6"/>
      </w:r>
      <w:r w:rsidRPr="003E325D">
        <w:rPr>
          <w:sz w:val="20"/>
          <w:szCs w:val="20"/>
        </w:rPr>
        <w:t xml:space="preserve">20А500С. В первой серии были использованы акриловые клеи </w:t>
      </w:r>
      <w:r w:rsidR="003E325D">
        <w:rPr>
          <w:sz w:val="20"/>
          <w:szCs w:val="20"/>
        </w:rPr>
        <w:t>стандартного</w:t>
      </w:r>
      <w:r w:rsidRPr="003E325D">
        <w:rPr>
          <w:sz w:val="20"/>
          <w:szCs w:val="20"/>
        </w:rPr>
        <w:t xml:space="preserve"> сост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 xml:space="preserve">ва, а во второй и третьей </w:t>
      </w:r>
      <w:r w:rsidR="003E325D">
        <w:rPr>
          <w:sz w:val="20"/>
          <w:szCs w:val="20"/>
        </w:rPr>
        <w:t>– с модифицирующими добавками</w:t>
      </w:r>
      <w:r w:rsidRPr="003E325D">
        <w:rPr>
          <w:sz w:val="20"/>
          <w:szCs w:val="20"/>
        </w:rPr>
        <w:t>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Геометрические характеристики образцов анкерных соединений представлены в таблице. Согласно этой таблице первая партия обра</w:t>
      </w:r>
      <w:r w:rsidRPr="003E325D">
        <w:rPr>
          <w:sz w:val="20"/>
          <w:szCs w:val="20"/>
        </w:rPr>
        <w:t>з</w:t>
      </w:r>
      <w:r w:rsidRPr="003E325D">
        <w:rPr>
          <w:sz w:val="20"/>
          <w:szCs w:val="20"/>
        </w:rPr>
        <w:t xml:space="preserve">цов состояла из 1 и 2 серий, вторая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1, 3 и 4 серий и третья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из 1, 5, 6 и 7 серий. Образцы первой и второй серии были изготовлены в кол</w:t>
      </w:r>
      <w:r w:rsidRPr="003E325D">
        <w:rPr>
          <w:sz w:val="20"/>
          <w:szCs w:val="20"/>
        </w:rPr>
        <w:t>и</w:t>
      </w:r>
      <w:r w:rsidRPr="003E325D">
        <w:rPr>
          <w:sz w:val="20"/>
          <w:szCs w:val="20"/>
        </w:rPr>
        <w:t xml:space="preserve">честве шести штук, а остальные </w:t>
      </w:r>
      <w:r w:rsidR="003E325D">
        <w:rPr>
          <w:sz w:val="20"/>
          <w:szCs w:val="20"/>
        </w:rPr>
        <w:t>–</w:t>
      </w:r>
      <w:r w:rsidRPr="003E325D">
        <w:rPr>
          <w:sz w:val="20"/>
          <w:szCs w:val="20"/>
        </w:rPr>
        <w:t xml:space="preserve"> по три образца.</w:t>
      </w:r>
    </w:p>
    <w:p w:rsidR="00A64FB8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Результаты испытаний первой партии образцов анкерных соед</w:t>
      </w:r>
      <w:r w:rsidRPr="003E325D">
        <w:rPr>
          <w:sz w:val="20"/>
          <w:szCs w:val="20"/>
        </w:rPr>
        <w:t>и</w:t>
      </w:r>
      <w:r w:rsidRPr="003E325D">
        <w:rPr>
          <w:sz w:val="20"/>
          <w:szCs w:val="20"/>
        </w:rPr>
        <w:t>нений показали следующее. Разрушение образцов первой и второй серии происходило в результате разрыва арматурных стержней на их загруженном конце. Предел прочности арматурных стержней в сре</w:t>
      </w:r>
      <w:r w:rsidRPr="003E325D">
        <w:rPr>
          <w:sz w:val="20"/>
          <w:szCs w:val="20"/>
        </w:rPr>
        <w:t>д</w:t>
      </w:r>
      <w:r w:rsidRPr="003E325D">
        <w:rPr>
          <w:sz w:val="20"/>
          <w:szCs w:val="20"/>
        </w:rPr>
        <w:t>нем составил 680 МПа. Замеры смещений незагруженного (Δ</w:t>
      </w:r>
      <w:r w:rsidRPr="003E325D">
        <w:rPr>
          <w:sz w:val="20"/>
          <w:szCs w:val="20"/>
          <w:vertAlign w:val="subscript"/>
        </w:rPr>
        <w:t>0</w:t>
      </w:r>
      <w:r w:rsidRPr="003E325D">
        <w:rPr>
          <w:sz w:val="20"/>
          <w:szCs w:val="20"/>
        </w:rPr>
        <w:t>) и з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>груженного (Δ</w:t>
      </w:r>
      <w:r w:rsidRPr="003E325D">
        <w:rPr>
          <w:i/>
          <w:iCs/>
          <w:sz w:val="20"/>
          <w:szCs w:val="20"/>
          <w:vertAlign w:val="subscript"/>
        </w:rPr>
        <w:t>l</w:t>
      </w:r>
      <w:r w:rsidRPr="003E325D">
        <w:rPr>
          <w:sz w:val="20"/>
          <w:szCs w:val="20"/>
        </w:rPr>
        <w:t xml:space="preserve">) концов заделанного в бетон арматурного стержня имели линейный характер до напряжений в арматурных стержнях </w:t>
      </w:r>
      <w:r w:rsidR="003E325D">
        <w:rPr>
          <w:sz w:val="20"/>
          <w:szCs w:val="20"/>
        </w:rPr>
        <w:t xml:space="preserve">                      </w:t>
      </w:r>
      <w:r w:rsidR="003E325D" w:rsidRPr="003E325D">
        <w:rPr>
          <w:i/>
          <w:iCs/>
          <w:sz w:val="20"/>
          <w:szCs w:val="20"/>
        </w:rPr>
        <w:sym w:font="Symbol" w:char="F073"/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i/>
          <w:iCs/>
          <w:sz w:val="20"/>
          <w:szCs w:val="20"/>
        </w:rPr>
        <w:t xml:space="preserve"> </w:t>
      </w:r>
      <w:r w:rsidRPr="003E325D">
        <w:rPr>
          <w:sz w:val="20"/>
          <w:szCs w:val="20"/>
        </w:rPr>
        <w:t>&lt; 540 МПа, то есть выше значений расчетного сопротивления арм</w:t>
      </w:r>
      <w:r w:rsidRPr="003E325D">
        <w:rPr>
          <w:sz w:val="20"/>
          <w:szCs w:val="20"/>
        </w:rPr>
        <w:t>а</w:t>
      </w:r>
      <w:r w:rsidRPr="003E325D">
        <w:rPr>
          <w:sz w:val="20"/>
          <w:szCs w:val="20"/>
        </w:rPr>
        <w:t xml:space="preserve">туры класса А500С. Причем смещение загруженного конца стержня во много раз больше, чем незагруженного конца. Так, при </w:t>
      </w:r>
      <w:r w:rsidRPr="003E325D">
        <w:rPr>
          <w:i/>
          <w:iCs/>
          <w:sz w:val="20"/>
          <w:szCs w:val="20"/>
        </w:rPr>
        <w:t>l</w:t>
      </w:r>
      <w:r w:rsidRPr="003E325D">
        <w:rPr>
          <w:i/>
          <w:iCs/>
          <w:sz w:val="20"/>
          <w:szCs w:val="20"/>
          <w:vertAlign w:val="subscript"/>
        </w:rPr>
        <w:t>анк.</w:t>
      </w:r>
      <w:r w:rsidRPr="003E325D">
        <w:rPr>
          <w:sz w:val="20"/>
          <w:szCs w:val="20"/>
        </w:rPr>
        <w:t xml:space="preserve"> = 2</w:t>
      </w:r>
      <w:r w:rsidR="003E325D">
        <w:rPr>
          <w:sz w:val="20"/>
          <w:szCs w:val="20"/>
        </w:rPr>
        <w:t>2,5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 xml:space="preserve"> при </w:t>
      </w:r>
      <w:r w:rsidR="003E325D" w:rsidRPr="003E325D">
        <w:rPr>
          <w:i/>
          <w:iCs/>
          <w:sz w:val="20"/>
          <w:szCs w:val="20"/>
        </w:rPr>
        <w:sym w:font="Symbol" w:char="F073"/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 xml:space="preserve"> &gt; 50 МПа Δ</w:t>
      </w:r>
      <w:r w:rsidRPr="003E325D">
        <w:rPr>
          <w:i/>
          <w:iCs/>
          <w:sz w:val="20"/>
          <w:szCs w:val="20"/>
          <w:vertAlign w:val="subscript"/>
        </w:rPr>
        <w:t xml:space="preserve">l </w:t>
      </w:r>
      <w:r w:rsidRPr="003E325D">
        <w:rPr>
          <w:sz w:val="20"/>
          <w:szCs w:val="20"/>
        </w:rPr>
        <w:t>были равны Δ</w:t>
      </w:r>
      <w:r w:rsidRPr="003E325D">
        <w:rPr>
          <w:i/>
          <w:iCs/>
          <w:sz w:val="20"/>
          <w:szCs w:val="20"/>
          <w:vertAlign w:val="subscript"/>
        </w:rPr>
        <w:t>l</w:t>
      </w:r>
      <w:r w:rsidRPr="003E325D">
        <w:rPr>
          <w:sz w:val="20"/>
          <w:szCs w:val="20"/>
        </w:rPr>
        <w:t xml:space="preserve"> = 121 мкм, а Δ</w:t>
      </w:r>
      <w:r w:rsidRPr="003E325D">
        <w:rPr>
          <w:sz w:val="20"/>
          <w:szCs w:val="20"/>
          <w:vertAlign w:val="subscript"/>
        </w:rPr>
        <w:t>0</w:t>
      </w:r>
      <w:r w:rsidRPr="003E325D">
        <w:rPr>
          <w:sz w:val="20"/>
          <w:szCs w:val="20"/>
        </w:rPr>
        <w:t xml:space="preserve"> всего 15 мкм; при </w:t>
      </w:r>
      <w:r w:rsidR="003E325D">
        <w:rPr>
          <w:sz w:val="20"/>
          <w:szCs w:val="20"/>
        </w:rPr>
        <w:t xml:space="preserve">                          </w:t>
      </w:r>
      <w:r w:rsidRPr="003E325D">
        <w:rPr>
          <w:i/>
          <w:iCs/>
          <w:sz w:val="20"/>
          <w:szCs w:val="20"/>
        </w:rPr>
        <w:t>l</w:t>
      </w:r>
      <w:r w:rsidRPr="003E325D">
        <w:rPr>
          <w:i/>
          <w:iCs/>
          <w:sz w:val="20"/>
          <w:szCs w:val="20"/>
          <w:vertAlign w:val="subscript"/>
        </w:rPr>
        <w:t>анк.</w:t>
      </w:r>
      <w:r w:rsidRPr="003E325D">
        <w:rPr>
          <w:sz w:val="20"/>
          <w:szCs w:val="20"/>
        </w:rPr>
        <w:t xml:space="preserve"> = 1</w:t>
      </w:r>
      <w:r w:rsidR="003E325D">
        <w:rPr>
          <w:sz w:val="20"/>
          <w:szCs w:val="20"/>
        </w:rPr>
        <w:t>7,</w:t>
      </w:r>
      <w:r w:rsidRPr="003E325D">
        <w:rPr>
          <w:sz w:val="20"/>
          <w:szCs w:val="20"/>
        </w:rPr>
        <w:t>5</w:t>
      </w:r>
      <w:r w:rsidRPr="003E325D">
        <w:rPr>
          <w:i/>
          <w:iCs/>
          <w:sz w:val="20"/>
          <w:szCs w:val="20"/>
        </w:rPr>
        <w:t xml:space="preserve"> d</w:t>
      </w:r>
      <w:r w:rsidRPr="003E325D">
        <w:rPr>
          <w:i/>
          <w:iCs/>
          <w:sz w:val="20"/>
          <w:szCs w:val="20"/>
          <w:vertAlign w:val="subscript"/>
        </w:rPr>
        <w:t>s</w:t>
      </w:r>
      <w:r w:rsidRPr="003E325D">
        <w:rPr>
          <w:sz w:val="20"/>
          <w:szCs w:val="20"/>
        </w:rPr>
        <w:t xml:space="preserve"> Δ</w:t>
      </w:r>
      <w:r w:rsidRPr="003E325D">
        <w:rPr>
          <w:i/>
          <w:iCs/>
          <w:sz w:val="20"/>
          <w:szCs w:val="20"/>
          <w:vertAlign w:val="subscript"/>
        </w:rPr>
        <w:t>l</w:t>
      </w:r>
      <w:r w:rsidRPr="003E325D">
        <w:rPr>
          <w:sz w:val="20"/>
          <w:szCs w:val="20"/>
        </w:rPr>
        <w:t xml:space="preserve"> = 173 мкм, Δ</w:t>
      </w:r>
      <w:r w:rsidRPr="003E325D">
        <w:rPr>
          <w:sz w:val="20"/>
          <w:szCs w:val="20"/>
          <w:vertAlign w:val="subscript"/>
        </w:rPr>
        <w:t xml:space="preserve">0 </w:t>
      </w:r>
      <w:r w:rsidRPr="003E325D">
        <w:rPr>
          <w:sz w:val="20"/>
          <w:szCs w:val="20"/>
        </w:rPr>
        <w:t>= 29 мкм.</w:t>
      </w:r>
    </w:p>
    <w:p w:rsidR="00A64FB8" w:rsidRPr="003E325D" w:rsidRDefault="00A64FB8" w:rsidP="00A64FB8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Результаты испытаний второй партии образцов анкерных соед</w:t>
      </w:r>
      <w:r w:rsidRPr="003E325D">
        <w:rPr>
          <w:sz w:val="20"/>
          <w:szCs w:val="20"/>
        </w:rPr>
        <w:t>и</w:t>
      </w:r>
      <w:r w:rsidRPr="003E325D">
        <w:rPr>
          <w:sz w:val="20"/>
          <w:szCs w:val="20"/>
        </w:rPr>
        <w:t>нений показали следующее. Разрушение образцов первой, третьей и четвертой серий происходило в результате разрыва арматурных стержней. Усилия разрыва стержней соответствовали пределу прочн</w:t>
      </w:r>
      <w:r w:rsidRPr="003E325D">
        <w:rPr>
          <w:sz w:val="20"/>
          <w:szCs w:val="20"/>
        </w:rPr>
        <w:t>о</w:t>
      </w:r>
      <w:r w:rsidRPr="003E325D">
        <w:rPr>
          <w:sz w:val="20"/>
          <w:szCs w:val="20"/>
        </w:rPr>
        <w:t xml:space="preserve">сти арматуры этого класса. Анализ экспериментов </w:t>
      </w:r>
      <w:r w:rsidRPr="00566BDF">
        <w:rPr>
          <w:sz w:val="20"/>
          <w:szCs w:val="20"/>
        </w:rPr>
        <w:t>показал</w:t>
      </w:r>
      <w:r w:rsidRPr="003E325D">
        <w:rPr>
          <w:sz w:val="20"/>
          <w:szCs w:val="20"/>
        </w:rPr>
        <w:t>, что, н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смотря на геометрическое подобие анкерных соединений, что характ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 xml:space="preserve">ризуется величиной отношения </w:t>
      </w:r>
      <w:r w:rsidRPr="003E325D">
        <w:rPr>
          <w:i/>
          <w:iCs/>
          <w:sz w:val="20"/>
          <w:szCs w:val="20"/>
        </w:rPr>
        <w:t>l</w:t>
      </w:r>
      <w:r w:rsidRPr="00A64FB8">
        <w:rPr>
          <w:sz w:val="20"/>
          <w:szCs w:val="20"/>
          <w:vertAlign w:val="subscript"/>
        </w:rPr>
        <w:t>1</w:t>
      </w:r>
      <w:r w:rsidRPr="003E325D">
        <w:rPr>
          <w:i/>
          <w:iCs/>
          <w:sz w:val="20"/>
          <w:szCs w:val="20"/>
          <w:vertAlign w:val="subscript"/>
        </w:rPr>
        <w:t xml:space="preserve"> </w:t>
      </w:r>
      <w:r w:rsidRPr="003E325D">
        <w:rPr>
          <w:sz w:val="20"/>
          <w:szCs w:val="20"/>
        </w:rPr>
        <w:t>(таблица), деформативность анке</w:t>
      </w:r>
      <w:r w:rsidRPr="003E325D">
        <w:rPr>
          <w:sz w:val="20"/>
          <w:szCs w:val="20"/>
        </w:rPr>
        <w:t>р</w:t>
      </w:r>
      <w:r w:rsidRPr="003E325D">
        <w:rPr>
          <w:sz w:val="20"/>
          <w:szCs w:val="20"/>
        </w:rPr>
        <w:lastRenderedPageBreak/>
        <w:t xml:space="preserve">них соединений разная. Так, при 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 xml:space="preserve">s </w:t>
      </w:r>
      <w:r w:rsidRPr="003E325D">
        <w:rPr>
          <w:sz w:val="20"/>
          <w:szCs w:val="20"/>
        </w:rPr>
        <w:t xml:space="preserve">= 16 А500С она ниже, чем при </w:t>
      </w:r>
      <w:r>
        <w:rPr>
          <w:sz w:val="20"/>
          <w:szCs w:val="20"/>
        </w:rPr>
        <w:t xml:space="preserve">                          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 xml:space="preserve">s </w:t>
      </w:r>
      <w:r w:rsidRPr="003E325D">
        <w:rPr>
          <w:sz w:val="20"/>
          <w:szCs w:val="20"/>
        </w:rPr>
        <w:t>= 20 А500С (около 10%) и тем боле</w:t>
      </w:r>
      <w:r>
        <w:rPr>
          <w:sz w:val="20"/>
          <w:szCs w:val="20"/>
        </w:rPr>
        <w:t>е</w:t>
      </w:r>
      <w:r w:rsidRPr="003E325D">
        <w:rPr>
          <w:sz w:val="20"/>
          <w:szCs w:val="20"/>
        </w:rPr>
        <w:t xml:space="preserve"> при </w:t>
      </w:r>
      <w:r w:rsidRPr="003E325D">
        <w:rPr>
          <w:i/>
          <w:iCs/>
          <w:sz w:val="20"/>
          <w:szCs w:val="20"/>
        </w:rPr>
        <w:t>d</w:t>
      </w:r>
      <w:r w:rsidRPr="003E325D">
        <w:rPr>
          <w:i/>
          <w:iCs/>
          <w:sz w:val="20"/>
          <w:szCs w:val="20"/>
          <w:vertAlign w:val="subscript"/>
        </w:rPr>
        <w:t xml:space="preserve">s </w:t>
      </w:r>
      <w:r w:rsidRPr="003E325D">
        <w:rPr>
          <w:sz w:val="20"/>
          <w:szCs w:val="20"/>
        </w:rPr>
        <w:t>= 2</w:t>
      </w:r>
      <w:r>
        <w:rPr>
          <w:sz w:val="20"/>
          <w:szCs w:val="20"/>
        </w:rPr>
        <w:t>5</w:t>
      </w:r>
      <w:r w:rsidRPr="003E325D">
        <w:rPr>
          <w:sz w:val="20"/>
          <w:szCs w:val="20"/>
        </w:rPr>
        <w:t xml:space="preserve"> А500С (около 18%).</w:t>
      </w:r>
    </w:p>
    <w:p w:rsidR="00A64FB8" w:rsidRPr="00566BDF" w:rsidRDefault="00A64FB8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64FB8" w:rsidRPr="003E325D" w:rsidRDefault="00A64FB8" w:rsidP="00A64FB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E325D">
        <w:rPr>
          <w:sz w:val="16"/>
          <w:szCs w:val="16"/>
        </w:rPr>
        <w:t>Геометрические характеристики анкеровки арматурных стержней акриловыми клеями</w:t>
      </w:r>
    </w:p>
    <w:p w:rsidR="00A64FB8" w:rsidRPr="00566BDF" w:rsidRDefault="00A64FB8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6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992"/>
        <w:gridCol w:w="850"/>
      </w:tblGrid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№</w:t>
            </w:r>
          </w:p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</w:rPr>
              <w:t>серии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566BDF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325D">
              <w:rPr>
                <w:sz w:val="16"/>
                <w:szCs w:val="16"/>
              </w:rPr>
              <w:t>Диаметр армату</w:t>
            </w:r>
            <w:r w:rsidRPr="003E325D">
              <w:rPr>
                <w:sz w:val="16"/>
                <w:szCs w:val="16"/>
              </w:rPr>
              <w:t>р</w:t>
            </w:r>
            <w:r w:rsidRPr="003E325D">
              <w:rPr>
                <w:sz w:val="16"/>
                <w:szCs w:val="16"/>
              </w:rPr>
              <w:t xml:space="preserve">ного стержня, </w:t>
            </w:r>
            <w:r w:rsidRPr="003E325D">
              <w:rPr>
                <w:i/>
                <w:iCs/>
                <w:sz w:val="16"/>
                <w:szCs w:val="16"/>
              </w:rPr>
              <w:t>d</w:t>
            </w:r>
            <w:r w:rsidRPr="003E325D">
              <w:rPr>
                <w:i/>
                <w:iCs/>
                <w:sz w:val="16"/>
                <w:szCs w:val="16"/>
                <w:vertAlign w:val="subscript"/>
              </w:rPr>
              <w:t>s</w:t>
            </w:r>
            <w:r w:rsidRPr="003E325D">
              <w:rPr>
                <w:sz w:val="16"/>
                <w:szCs w:val="16"/>
              </w:rPr>
              <w:t>, мм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</w:rPr>
              <w:t>Глубина заделки,</w:t>
            </w:r>
            <w:r>
              <w:rPr>
                <w:sz w:val="16"/>
                <w:szCs w:val="16"/>
              </w:rPr>
              <w:t xml:space="preserve"> </w:t>
            </w:r>
            <w:r w:rsidRPr="003E325D">
              <w:rPr>
                <w:i/>
                <w:iCs/>
                <w:sz w:val="16"/>
                <w:szCs w:val="16"/>
                <w:lang w:val="en-US"/>
              </w:rPr>
              <w:t>l</w:t>
            </w:r>
            <w:r w:rsidRPr="003E325D">
              <w:rPr>
                <w:i/>
                <w:iCs/>
                <w:sz w:val="16"/>
                <w:szCs w:val="16"/>
                <w:vertAlign w:val="subscript"/>
              </w:rPr>
              <w:t>анк.</w:t>
            </w:r>
            <w:r w:rsidRPr="003E325D">
              <w:rPr>
                <w:sz w:val="16"/>
                <w:szCs w:val="16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</w:rPr>
              <w:t>Диаметр скв</w:t>
            </w:r>
            <w:r w:rsidRPr="003E325D">
              <w:rPr>
                <w:sz w:val="16"/>
                <w:szCs w:val="16"/>
              </w:rPr>
              <w:t>а</w:t>
            </w:r>
            <w:r w:rsidRPr="003E325D">
              <w:rPr>
                <w:sz w:val="16"/>
                <w:szCs w:val="16"/>
              </w:rPr>
              <w:t>жины,</w:t>
            </w:r>
            <w:r>
              <w:rPr>
                <w:sz w:val="16"/>
                <w:szCs w:val="16"/>
              </w:rPr>
              <w:t xml:space="preserve"> </w:t>
            </w:r>
            <w:r w:rsidRPr="003E325D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3E325D">
              <w:rPr>
                <w:i/>
                <w:iCs/>
                <w:sz w:val="16"/>
                <w:szCs w:val="16"/>
                <w:vertAlign w:val="subscript"/>
              </w:rPr>
              <w:t>скв</w:t>
            </w:r>
            <w:r w:rsidRPr="003E325D">
              <w:rPr>
                <w:sz w:val="16"/>
                <w:szCs w:val="16"/>
              </w:rPr>
              <w:t>, мм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</w:rPr>
              <w:t>Величины отношений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A64FB8" w:rsidP="00A64F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4F4C2A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A64FB8">
              <w:rPr>
                <w:position w:val="-38"/>
                <w:sz w:val="16"/>
                <w:szCs w:val="16"/>
                <w:lang w:val="en-US"/>
              </w:rPr>
              <w:object w:dxaOrig="98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18.7pt" o:ole="">
                  <v:imagedata r:id="rId5" o:title=""/>
                </v:shape>
                <o:OLEObject Type="Embed" ProgID="Equation.3" ShapeID="_x0000_i1025" DrawAspect="Content" ObjectID="_1478525137" r:id="rId6"/>
              </w:objec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4FB8" w:rsidRPr="003E325D" w:rsidRDefault="004F4C2A" w:rsidP="00A64F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A64FB8">
              <w:rPr>
                <w:position w:val="-38"/>
                <w:sz w:val="16"/>
                <w:szCs w:val="16"/>
                <w:lang w:val="en-US"/>
              </w:rPr>
              <w:object w:dxaOrig="1060" w:dyaOrig="880">
                <v:shape id="_x0000_i1026" type="#_x0000_t75" style="width:24.3pt;height:19.65pt" o:ole="">
                  <v:imagedata r:id="rId7" o:title=""/>
                </v:shape>
                <o:OLEObject Type="Embed" ProgID="Equation.3" ShapeID="_x0000_i1026" DrawAspect="Content" ObjectID="_1478525138" r:id="rId8"/>
              </w:objec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20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18,75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20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14,58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16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14,73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8D2A1A" w:rsidRDefault="008D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15,08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20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15,0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20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12,5</w:t>
            </w:r>
          </w:p>
        </w:tc>
      </w:tr>
      <w:tr w:rsidR="00A64FB8" w:rsidRPr="003E3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20</w:t>
            </w:r>
            <w:r w:rsidRPr="003E325D">
              <w:rPr>
                <w:sz w:val="16"/>
                <w:szCs w:val="16"/>
              </w:rPr>
              <w:t>А500С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A64FB8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325D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FB8" w:rsidRPr="003E325D" w:rsidRDefault="00A6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10,71</w:t>
            </w:r>
          </w:p>
        </w:tc>
      </w:tr>
    </w:tbl>
    <w:p w:rsidR="00A64FB8" w:rsidRPr="003E325D" w:rsidRDefault="00A64FB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Результаты испытаний третьей партии образцов анкерних соед</w:t>
      </w:r>
      <w:r w:rsidRPr="003E325D">
        <w:rPr>
          <w:sz w:val="20"/>
          <w:szCs w:val="20"/>
        </w:rPr>
        <w:t>и</w:t>
      </w:r>
      <w:r w:rsidRPr="003E325D">
        <w:rPr>
          <w:sz w:val="20"/>
          <w:szCs w:val="20"/>
        </w:rPr>
        <w:t>нений показали следующее. Разрушение первой, пятой, шестой и седьмой серии образцов</w:t>
      </w:r>
      <w:r>
        <w:rPr>
          <w:sz w:val="20"/>
          <w:szCs w:val="20"/>
        </w:rPr>
        <w:t>,</w:t>
      </w:r>
      <w:r w:rsidRPr="003E325D">
        <w:rPr>
          <w:sz w:val="20"/>
          <w:szCs w:val="20"/>
        </w:rPr>
        <w:t xml:space="preserve"> как и в предыдущих случаях происходило в результате разрыва арматурных стержней, что соответствовало пред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лу прочности арматуры этого класса. Смещения загруженного (Δ</w:t>
      </w:r>
      <w:r w:rsidRPr="003E325D">
        <w:rPr>
          <w:i/>
          <w:iCs/>
          <w:sz w:val="20"/>
          <w:szCs w:val="20"/>
          <w:vertAlign w:val="subscript"/>
        </w:rPr>
        <w:t>l</w:t>
      </w:r>
      <w:r w:rsidRPr="003E325D">
        <w:rPr>
          <w:sz w:val="20"/>
          <w:szCs w:val="20"/>
        </w:rPr>
        <w:t>) и незагруженного (Δ</w:t>
      </w:r>
      <w:r w:rsidRPr="003E325D">
        <w:rPr>
          <w:sz w:val="20"/>
          <w:szCs w:val="20"/>
          <w:vertAlign w:val="subscript"/>
        </w:rPr>
        <w:t>0</w:t>
      </w:r>
      <w:r w:rsidRPr="003E325D">
        <w:rPr>
          <w:sz w:val="20"/>
          <w:szCs w:val="20"/>
        </w:rPr>
        <w:t>) концов заделанной части арматурного стержня говорит о том, что увеличение диаметра скважины и соответственно, толщины клеевого слоя приводит к увеличению деформативности кл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евого анкера.</w:t>
      </w:r>
    </w:p>
    <w:p w:rsidR="00A64FB8" w:rsidRPr="003E325D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E325D">
        <w:rPr>
          <w:sz w:val="20"/>
          <w:szCs w:val="20"/>
        </w:rPr>
        <w:t>Результаты экспериментов показали, что указанные технологич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ские факторы не оказывают существенного влияния на прочность кл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евой анкеровки арматурных стержней. Однако они оказывают влияние на деформативность анкерных соединений. Однако эти см</w:t>
      </w:r>
      <w:r w:rsidRPr="003E325D">
        <w:rPr>
          <w:sz w:val="20"/>
          <w:szCs w:val="20"/>
        </w:rPr>
        <w:t>е</w:t>
      </w:r>
      <w:r w:rsidRPr="003E325D">
        <w:rPr>
          <w:sz w:val="20"/>
          <w:szCs w:val="20"/>
        </w:rPr>
        <w:t>щения не имеют необратимого характера и при расчетных загрузках на армату</w:t>
      </w:r>
      <w:r w:rsidRPr="003E325D">
        <w:rPr>
          <w:sz w:val="20"/>
          <w:szCs w:val="20"/>
        </w:rPr>
        <w:t>р</w:t>
      </w:r>
      <w:r w:rsidRPr="003E325D">
        <w:rPr>
          <w:sz w:val="20"/>
          <w:szCs w:val="20"/>
        </w:rPr>
        <w:t xml:space="preserve">ные стержни имеют незначительные величины </w:t>
      </w:r>
      <w:r>
        <w:rPr>
          <w:sz w:val="20"/>
          <w:szCs w:val="20"/>
        </w:rPr>
        <w:t xml:space="preserve">                                         </w:t>
      </w:r>
      <w:r w:rsidRPr="003E325D">
        <w:rPr>
          <w:sz w:val="20"/>
          <w:szCs w:val="20"/>
        </w:rPr>
        <w:t>(Δ</w:t>
      </w:r>
      <w:r w:rsidRPr="00A64FB8">
        <w:rPr>
          <w:i/>
          <w:iCs/>
          <w:sz w:val="20"/>
          <w:szCs w:val="20"/>
          <w:vertAlign w:val="subscript"/>
        </w:rPr>
        <w:t>l</w:t>
      </w:r>
      <w:r w:rsidRPr="003E325D">
        <w:rPr>
          <w:i/>
          <w:iCs/>
          <w:sz w:val="20"/>
          <w:szCs w:val="20"/>
          <w:vertAlign w:val="subscript"/>
        </w:rPr>
        <w:t xml:space="preserve"> </w:t>
      </w:r>
      <w:r w:rsidRPr="003E325D">
        <w:rPr>
          <w:sz w:val="20"/>
          <w:szCs w:val="20"/>
        </w:rPr>
        <w:t>= 100</w:t>
      </w:r>
      <w:r>
        <w:rPr>
          <w:sz w:val="20"/>
          <w:szCs w:val="20"/>
        </w:rPr>
        <w:t>-</w:t>
      </w:r>
      <w:r w:rsidRPr="003E325D">
        <w:rPr>
          <w:sz w:val="20"/>
          <w:szCs w:val="20"/>
        </w:rPr>
        <w:t>135 мкм), особенно на незагруженном конце (Δ</w:t>
      </w:r>
      <w:r w:rsidRPr="003E325D">
        <w:rPr>
          <w:sz w:val="20"/>
          <w:szCs w:val="20"/>
          <w:vertAlign w:val="subscript"/>
        </w:rPr>
        <w:t>0</w:t>
      </w:r>
      <w:r w:rsidRPr="003E325D">
        <w:rPr>
          <w:sz w:val="20"/>
          <w:szCs w:val="20"/>
        </w:rPr>
        <w:t xml:space="preserve"> = 14</w:t>
      </w:r>
      <w:r>
        <w:rPr>
          <w:sz w:val="20"/>
          <w:szCs w:val="20"/>
        </w:rPr>
        <w:t>-</w:t>
      </w:r>
      <w:r w:rsidRPr="003E325D">
        <w:rPr>
          <w:sz w:val="20"/>
          <w:szCs w:val="20"/>
        </w:rPr>
        <w:t>20 мкм). Очевидно, в случае увеличения глубины заделки эти смещения знач</w:t>
      </w:r>
      <w:r w:rsidRPr="003E325D">
        <w:rPr>
          <w:sz w:val="20"/>
          <w:szCs w:val="20"/>
        </w:rPr>
        <w:t>и</w:t>
      </w:r>
      <w:r w:rsidRPr="003E325D">
        <w:rPr>
          <w:sz w:val="20"/>
          <w:szCs w:val="20"/>
        </w:rPr>
        <w:t>тельно уменьшаются.</w:t>
      </w:r>
    </w:p>
    <w:p w:rsidR="00A64FB8" w:rsidRPr="00566BDF" w:rsidRDefault="00A64FB8" w:rsidP="003E325D">
      <w:pPr>
        <w:widowControl w:val="0"/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</w:p>
    <w:p w:rsidR="00A64FB8" w:rsidRPr="00566BDF" w:rsidRDefault="00A64FB8" w:rsidP="003E325D">
      <w:pPr>
        <w:widowControl w:val="0"/>
        <w:autoSpaceDE w:val="0"/>
        <w:autoSpaceDN w:val="0"/>
        <w:adjustRightInd w:val="0"/>
        <w:ind w:firstLine="425"/>
        <w:rPr>
          <w:sz w:val="20"/>
          <w:szCs w:val="20"/>
        </w:rPr>
      </w:pPr>
    </w:p>
    <w:sectPr w:rsidR="00A64FB8" w:rsidRPr="00566BDF" w:rsidSect="003E325D">
      <w:pgSz w:w="8392" w:h="11907" w:code="1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9"/>
    <w:rsid w:val="000F4A34"/>
    <w:rsid w:val="001A5EF9"/>
    <w:rsid w:val="003E325D"/>
    <w:rsid w:val="004F4C2A"/>
    <w:rsid w:val="00566BDF"/>
    <w:rsid w:val="00652719"/>
    <w:rsid w:val="008B05F1"/>
    <w:rsid w:val="008D2A1A"/>
    <w:rsid w:val="009D003D"/>
    <w:rsid w:val="00A64FB8"/>
    <w:rsid w:val="00B95A69"/>
    <w:rsid w:val="00CD7BE2"/>
    <w:rsid w:val="00D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basedOn w:val="a0"/>
    <w:uiPriority w:val="99"/>
    <w:rsid w:val="003E325D"/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basedOn w:val="a0"/>
    <w:uiPriority w:val="99"/>
    <w:rsid w:val="003E325D"/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НЕКОТОРЫХ ТЕХНОЛОГИЧЕСКИХ ФАКТОРОВ НА ПРОЧНОСТЬ И ДЕФОРМАТИВНОСТЬ КЛЕЕВОЙ АНКЕРОВКИ АРМАТУРНЫХ СТЕРЖНЕЙ СЕРПОВИДНОГО ПРОФИЛЯ</vt:lpstr>
    </vt:vector>
  </TitlesOfParts>
  <Company>*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НЕКОТОРЫХ ТЕХНОЛОГИЧЕСКИХ ФАКТОРОВ НА ПРОЧНОСТЬ И ДЕФОРМАТИВНОСТЬ КЛЕЕВОЙ АНКЕРОВКИ АРМАТУРНЫХ СТЕРЖНЕЙ СЕРПОВИДНОГО ПРОФИЛЯ</dc:title>
  <dc:creator>ОКСАНА</dc:creator>
  <cp:lastModifiedBy>Asus</cp:lastModifiedBy>
  <cp:revision>2</cp:revision>
  <cp:lastPrinted>2014-10-09T09:24:00Z</cp:lastPrinted>
  <dcterms:created xsi:type="dcterms:W3CDTF">2014-11-26T14:39:00Z</dcterms:created>
  <dcterms:modified xsi:type="dcterms:W3CDTF">2014-11-26T14:39:00Z</dcterms:modified>
</cp:coreProperties>
</file>